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40"/>
        </w:tabs>
        <w:jc w:val="center"/>
        <w:rPr>
          <w:rFonts w:ascii="宋体" w:hAnsi="宋体" w:eastAsia="宋体" w:cs="宋体"/>
          <w:b/>
          <w:bCs/>
          <w:sz w:val="24"/>
          <w:szCs w:val="24"/>
        </w:rPr>
      </w:pPr>
      <w:r>
        <w:rPr>
          <w:rFonts w:hint="eastAsia" w:ascii="宋体" w:hAnsi="宋体" w:eastAsia="宋体" w:cs="宋体"/>
          <w:b/>
          <w:bCs/>
          <w:sz w:val="24"/>
          <w:szCs w:val="24"/>
        </w:rPr>
        <w:t>技术要求</w:t>
      </w:r>
    </w:p>
    <w:p>
      <w:pPr>
        <w:tabs>
          <w:tab w:val="left" w:pos="640"/>
        </w:tabs>
        <w:rPr>
          <w:rFonts w:ascii="宋体" w:hAnsi="宋体" w:eastAsia="宋体" w:cs="宋体"/>
          <w:szCs w:val="21"/>
        </w:rPr>
      </w:pPr>
      <w:r>
        <w:rPr>
          <w:rFonts w:hint="eastAsia" w:ascii="宋体" w:hAnsi="宋体" w:eastAsia="宋体" w:cs="宋体"/>
          <w:szCs w:val="21"/>
        </w:rPr>
        <w:t>一、维保仪器清单</w:t>
      </w:r>
    </w:p>
    <w:p>
      <w:pPr>
        <w:tabs>
          <w:tab w:val="left" w:pos="640"/>
        </w:tabs>
        <w:rPr>
          <w:rFonts w:ascii="宋体" w:hAnsi="宋体" w:eastAsia="宋体" w:cs="宋体"/>
          <w:szCs w:val="21"/>
        </w:rPr>
      </w:pPr>
      <w:r>
        <w:rPr>
          <w:rFonts w:hint="eastAsia" w:ascii="宋体" w:hAnsi="宋体" w:eastAsia="宋体" w:cs="宋体"/>
          <w:szCs w:val="21"/>
        </w:rPr>
        <w:t>二、维保服务计划条款</w:t>
      </w:r>
    </w:p>
    <w:p>
      <w:pPr>
        <w:pBdr>
          <w:top w:val="none" w:color="auto" w:sz="0" w:space="0"/>
          <w:left w:val="none" w:color="auto" w:sz="0" w:space="0"/>
          <w:bottom w:val="none" w:color="auto" w:sz="0" w:space="0"/>
          <w:right w:val="none" w:color="auto" w:sz="0" w:space="0"/>
          <w:between w:val="none" w:color="auto" w:sz="0" w:space="0"/>
        </w:pBdr>
        <w:ind w:firstLine="315" w:firstLineChars="150"/>
        <w:rPr>
          <w:rFonts w:ascii="宋体" w:hAnsi="宋体" w:eastAsia="宋体" w:cs="宋体"/>
          <w:szCs w:val="21"/>
        </w:rPr>
      </w:pPr>
      <w:r>
        <w:rPr>
          <w:rFonts w:ascii="宋体" w:hAnsi="宋体" w:eastAsia="宋体" w:cs="宋体"/>
          <w:szCs w:val="21"/>
        </w:rPr>
        <w:t xml:space="preserve">乙方按照甲方的相关技术要求，在合同有效期内，为甲方提供仪器设备维护保养工作，主要服务内容如下： </w:t>
      </w:r>
    </w:p>
    <w:p>
      <w:pPr>
        <w:overflowPunct w:val="0"/>
        <w:autoSpaceDE w:val="0"/>
        <w:autoSpaceDN w:val="0"/>
        <w:adjustRightInd w:val="0"/>
        <w:ind w:firstLine="420" w:firstLineChars="200"/>
        <w:textAlignment w:val="baseline"/>
        <w:rPr>
          <w:rFonts w:ascii="宋体" w:hAnsi="宋体" w:eastAsia="宋体" w:cs="宋体"/>
          <w:szCs w:val="21"/>
        </w:rPr>
      </w:pPr>
      <w:r>
        <w:rPr>
          <w:rFonts w:ascii="宋体" w:hAnsi="宋体" w:eastAsia="宋体" w:cs="宋体"/>
          <w:szCs w:val="21"/>
        </w:rPr>
        <w:t>1. 服务内容</w:t>
      </w:r>
    </w:p>
    <w:p>
      <w:pPr>
        <w:adjustRightInd w:val="0"/>
        <w:ind w:firstLine="420" w:firstLineChars="200"/>
        <w:rPr>
          <w:rFonts w:ascii="宋体" w:hAnsi="宋体" w:eastAsia="宋体" w:cs="宋体"/>
          <w:szCs w:val="21"/>
        </w:rPr>
      </w:pPr>
      <w:r>
        <w:rPr>
          <w:rFonts w:ascii="宋体" w:hAnsi="宋体" w:eastAsia="宋体" w:cs="宋体"/>
          <w:szCs w:val="21"/>
        </w:rPr>
        <w:t xml:space="preserve">1）响应时间：通过电话诊断和解决硬件故障，如果电话中未能解决，工程师将在48小时内到达现场诊断和解决硬件故障(维修所需配件如果需要在国内或国际仓库调货，乙方承诺尽最大努力快速到达维修现场)。在条件允许情况下可提供远程顾问辅助服务。 </w:t>
      </w:r>
    </w:p>
    <w:p>
      <w:pPr>
        <w:overflowPunct w:val="0"/>
        <w:autoSpaceDE w:val="0"/>
        <w:autoSpaceDN w:val="0"/>
        <w:adjustRightInd w:val="0"/>
        <w:ind w:firstLine="420" w:firstLineChars="200"/>
        <w:textAlignment w:val="baseline"/>
        <w:rPr>
          <w:rFonts w:ascii="宋体" w:hAnsi="宋体" w:eastAsia="宋体" w:cs="宋体"/>
          <w:szCs w:val="21"/>
        </w:rPr>
      </w:pPr>
      <w:r>
        <w:rPr>
          <w:rFonts w:ascii="宋体" w:hAnsi="宋体" w:eastAsia="宋体" w:cs="宋体"/>
          <w:szCs w:val="21"/>
        </w:rPr>
        <w:t>2）定期巡检：在合同期限内，</w:t>
      </w:r>
      <w:r>
        <w:rPr>
          <w:rFonts w:hint="eastAsia" w:ascii="宋体" w:hAnsi="宋体" w:eastAsia="宋体" w:cs="宋体"/>
          <w:szCs w:val="21"/>
        </w:rPr>
        <w:t>乙方</w:t>
      </w:r>
      <w:r>
        <w:rPr>
          <w:rFonts w:ascii="宋体" w:hAnsi="宋体" w:eastAsia="宋体" w:cs="宋体"/>
          <w:szCs w:val="21"/>
        </w:rPr>
        <w:t>将提供每</w:t>
      </w:r>
      <w:r>
        <w:rPr>
          <w:rFonts w:hint="eastAsia" w:ascii="宋体" w:hAnsi="宋体" w:eastAsia="宋体" w:cs="宋体"/>
          <w:szCs w:val="21"/>
        </w:rPr>
        <w:t>月</w:t>
      </w:r>
      <w:r>
        <w:rPr>
          <w:rFonts w:ascii="宋体" w:hAnsi="宋体" w:eastAsia="宋体" w:cs="宋体"/>
          <w:szCs w:val="21"/>
        </w:rPr>
        <w:t>一次的上门巡检，巡检结束之后出具巡检报告，双方代表签字并留存备份。工程师在巡检过程中发现问题，及时解决，如需更换备</w:t>
      </w:r>
      <w:bookmarkStart w:id="0" w:name="_GoBack"/>
      <w:bookmarkEnd w:id="0"/>
      <w:r>
        <w:rPr>
          <w:rFonts w:ascii="宋体" w:hAnsi="宋体" w:eastAsia="宋体" w:cs="宋体"/>
          <w:szCs w:val="21"/>
        </w:rPr>
        <w:t>件，及时出库并更换。</w:t>
      </w:r>
    </w:p>
    <w:p>
      <w:pPr>
        <w:overflowPunct w:val="0"/>
        <w:autoSpaceDE w:val="0"/>
        <w:autoSpaceDN w:val="0"/>
        <w:adjustRightInd w:val="0"/>
        <w:ind w:firstLine="420" w:firstLineChars="200"/>
        <w:textAlignment w:val="baseline"/>
        <w:rPr>
          <w:rFonts w:ascii="宋体" w:hAnsi="宋体" w:eastAsia="宋体" w:cs="宋体"/>
          <w:szCs w:val="21"/>
        </w:rPr>
      </w:pPr>
      <w:r>
        <w:rPr>
          <w:rFonts w:ascii="宋体" w:hAnsi="宋体" w:eastAsia="宋体" w:cs="宋体"/>
          <w:szCs w:val="21"/>
        </w:rPr>
        <w:t>3）讲座：在合同期限内，</w:t>
      </w:r>
      <w:r>
        <w:rPr>
          <w:rFonts w:hint="eastAsia" w:ascii="宋体" w:hAnsi="宋体" w:eastAsia="宋体" w:cs="宋体"/>
          <w:szCs w:val="21"/>
        </w:rPr>
        <w:t>乙方</w:t>
      </w:r>
      <w:r>
        <w:rPr>
          <w:rFonts w:ascii="宋体" w:hAnsi="宋体" w:eastAsia="宋体" w:cs="宋体"/>
          <w:szCs w:val="21"/>
        </w:rPr>
        <w:t>将</w:t>
      </w:r>
      <w:r>
        <w:rPr>
          <w:rFonts w:hint="eastAsia" w:ascii="宋体" w:hAnsi="宋体" w:eastAsia="宋体" w:cs="宋体"/>
          <w:szCs w:val="21"/>
        </w:rPr>
        <w:t>提供</w:t>
      </w:r>
      <w:r>
        <w:rPr>
          <w:rFonts w:ascii="宋体" w:hAnsi="宋体" w:eastAsia="宋体" w:cs="宋体"/>
          <w:szCs w:val="21"/>
        </w:rPr>
        <w:t>一次的工程师在甲方现场的讲座，</w:t>
      </w:r>
      <w:r>
        <w:rPr>
          <w:rFonts w:hint="eastAsia" w:ascii="宋体" w:hAnsi="宋体" w:eastAsia="宋体" w:cs="宋体"/>
          <w:szCs w:val="21"/>
        </w:rPr>
        <w:t>甲方</w:t>
      </w:r>
      <w:r>
        <w:rPr>
          <w:rFonts w:ascii="宋体" w:hAnsi="宋体" w:eastAsia="宋体" w:cs="宋体"/>
          <w:szCs w:val="21"/>
        </w:rPr>
        <w:t>相关负责人需提前30天通知</w:t>
      </w:r>
      <w:r>
        <w:rPr>
          <w:rFonts w:hint="eastAsia" w:ascii="宋体" w:hAnsi="宋体" w:eastAsia="宋体" w:cs="宋体"/>
          <w:szCs w:val="21"/>
        </w:rPr>
        <w:t>乙方</w:t>
      </w:r>
      <w:r>
        <w:rPr>
          <w:rFonts w:ascii="宋体" w:hAnsi="宋体" w:eastAsia="宋体" w:cs="宋体"/>
          <w:szCs w:val="21"/>
        </w:rPr>
        <w:t>伦售后服务部门并提供讲座所需场地、工具等。</w:t>
      </w:r>
    </w:p>
    <w:p>
      <w:pPr>
        <w:overflowPunct w:val="0"/>
        <w:autoSpaceDE w:val="0"/>
        <w:autoSpaceDN w:val="0"/>
        <w:adjustRightInd w:val="0"/>
        <w:ind w:firstLine="420" w:firstLineChars="200"/>
        <w:textAlignment w:val="baseline"/>
        <w:rPr>
          <w:rFonts w:ascii="宋体" w:hAnsi="宋体" w:eastAsia="宋体" w:cs="宋体"/>
          <w:szCs w:val="21"/>
        </w:rPr>
      </w:pPr>
      <w:r>
        <w:rPr>
          <w:rFonts w:ascii="宋体" w:hAnsi="宋体" w:eastAsia="宋体" w:cs="宋体"/>
          <w:szCs w:val="21"/>
        </w:rPr>
        <w:t>4）维修记录：在合同</w:t>
      </w:r>
      <w:r>
        <w:rPr>
          <w:rFonts w:hint="eastAsia" w:ascii="宋体" w:hAnsi="宋体" w:eastAsia="宋体" w:cs="宋体"/>
          <w:szCs w:val="21"/>
        </w:rPr>
        <w:t>结束后</w:t>
      </w:r>
      <w:r>
        <w:rPr>
          <w:rFonts w:ascii="宋体" w:hAnsi="宋体" w:eastAsia="宋体" w:cs="宋体"/>
          <w:szCs w:val="21"/>
        </w:rPr>
        <w:t>，</w:t>
      </w:r>
      <w:r>
        <w:rPr>
          <w:rFonts w:hint="eastAsia" w:ascii="宋体" w:hAnsi="宋体" w:eastAsia="宋体" w:cs="宋体"/>
          <w:szCs w:val="21"/>
        </w:rPr>
        <w:t>乙方需提供一份</w:t>
      </w:r>
      <w:r>
        <w:rPr>
          <w:rFonts w:ascii="宋体" w:hAnsi="宋体" w:eastAsia="宋体" w:cs="宋体"/>
          <w:szCs w:val="21"/>
        </w:rPr>
        <w:t>维修记录及费用清单，作为维修前后效果的评价和对比，供</w:t>
      </w:r>
      <w:r>
        <w:rPr>
          <w:rFonts w:hint="eastAsia" w:ascii="宋体" w:hAnsi="宋体" w:eastAsia="宋体" w:cs="宋体"/>
          <w:szCs w:val="21"/>
        </w:rPr>
        <w:t>甲方</w:t>
      </w:r>
      <w:r>
        <w:rPr>
          <w:rFonts w:ascii="宋体" w:hAnsi="宋体" w:eastAsia="宋体" w:cs="宋体"/>
          <w:szCs w:val="21"/>
        </w:rPr>
        <w:t>参考备份。</w:t>
      </w:r>
    </w:p>
    <w:p>
      <w:pPr>
        <w:overflowPunct w:val="0"/>
        <w:autoSpaceDE w:val="0"/>
        <w:autoSpaceDN w:val="0"/>
        <w:adjustRightInd w:val="0"/>
        <w:ind w:firstLine="420" w:firstLineChars="200"/>
        <w:textAlignment w:val="baseline"/>
        <w:rPr>
          <w:rFonts w:ascii="宋体" w:hAnsi="宋体" w:eastAsia="宋体" w:cs="宋体"/>
          <w:szCs w:val="21"/>
        </w:rPr>
      </w:pPr>
      <w:r>
        <w:rPr>
          <w:rFonts w:ascii="宋体" w:hAnsi="宋体" w:eastAsia="宋体" w:cs="宋体"/>
          <w:szCs w:val="21"/>
        </w:rPr>
        <w:t>2.服务包含合同期内下列费用</w:t>
      </w:r>
    </w:p>
    <w:p>
      <w:pPr>
        <w:adjustRightInd w:val="0"/>
        <w:ind w:firstLine="420" w:firstLineChars="200"/>
        <w:rPr>
          <w:rFonts w:ascii="宋体" w:hAnsi="宋体" w:eastAsia="宋体" w:cs="宋体"/>
          <w:szCs w:val="21"/>
        </w:rPr>
      </w:pPr>
      <w:r>
        <w:rPr>
          <w:rFonts w:ascii="宋体" w:hAnsi="宋体" w:eastAsia="宋体" w:cs="宋体"/>
          <w:szCs w:val="21"/>
        </w:rPr>
        <w:t>所有工时费、差旅费及维修所需的备件（含签订合同仪器的全部硬件）：</w:t>
      </w:r>
    </w:p>
    <w:p>
      <w:pPr>
        <w:widowControl/>
        <w:adjustRightInd w:val="0"/>
        <w:ind w:firstLine="420" w:firstLineChars="200"/>
        <w:contextualSpacing/>
        <w:jc w:val="left"/>
        <w:rPr>
          <w:rFonts w:ascii="宋体" w:hAnsi="宋体" w:eastAsia="宋体" w:cs="宋体"/>
          <w:szCs w:val="21"/>
        </w:rPr>
      </w:pPr>
      <w:r>
        <w:rPr>
          <w:rFonts w:ascii="宋体" w:hAnsi="宋体" w:eastAsia="宋体" w:cs="宋体"/>
          <w:szCs w:val="21"/>
        </w:rPr>
        <w:t>1）维修合同中所涉及的工时费</w:t>
      </w:r>
      <w:r>
        <w:rPr>
          <w:rFonts w:hint="eastAsia" w:ascii="宋体" w:hAnsi="宋体" w:eastAsia="宋体" w:cs="宋体"/>
          <w:szCs w:val="21"/>
        </w:rPr>
        <w:t>；</w:t>
      </w:r>
    </w:p>
    <w:p>
      <w:pPr>
        <w:adjustRightInd w:val="0"/>
        <w:ind w:firstLine="420" w:firstLineChars="200"/>
        <w:rPr>
          <w:rFonts w:ascii="宋体" w:hAnsi="宋体" w:eastAsia="宋体" w:cs="宋体"/>
          <w:szCs w:val="21"/>
        </w:rPr>
      </w:pPr>
      <w:r>
        <w:rPr>
          <w:rFonts w:ascii="宋体" w:hAnsi="宋体" w:eastAsia="宋体" w:cs="宋体"/>
          <w:szCs w:val="21"/>
        </w:rPr>
        <w:t>2）维修合同中所涉及的维修备件费</w:t>
      </w:r>
      <w:r>
        <w:rPr>
          <w:rFonts w:hint="eastAsia" w:ascii="宋体" w:hAnsi="宋体" w:eastAsia="宋体" w:cs="宋体"/>
          <w:szCs w:val="21"/>
        </w:rPr>
        <w:t>；（维修备件</w:t>
      </w:r>
      <w:r>
        <w:rPr>
          <w:rFonts w:ascii="宋体" w:hAnsi="宋体" w:eastAsia="宋体" w:cs="宋体"/>
          <w:szCs w:val="21"/>
        </w:rPr>
        <w:t>请详见附件</w:t>
      </w:r>
      <w:r>
        <w:rPr>
          <w:rFonts w:hint="eastAsia" w:ascii="宋体" w:hAnsi="宋体" w:eastAsia="宋体" w:cs="宋体"/>
          <w:szCs w:val="21"/>
        </w:rPr>
        <w:t>一）</w:t>
      </w:r>
    </w:p>
    <w:p>
      <w:pPr>
        <w:adjustRightInd w:val="0"/>
        <w:ind w:firstLine="420" w:firstLineChars="200"/>
        <w:rPr>
          <w:rFonts w:ascii="宋体" w:hAnsi="宋体" w:eastAsia="宋体" w:cs="宋体"/>
          <w:szCs w:val="21"/>
        </w:rPr>
      </w:pPr>
      <w:r>
        <w:rPr>
          <w:rFonts w:ascii="宋体" w:hAnsi="宋体" w:eastAsia="宋体" w:cs="宋体"/>
          <w:szCs w:val="21"/>
        </w:rPr>
        <w:t>3）维修合同中所涉及的维修时所需消耗品</w:t>
      </w:r>
      <w:r>
        <w:rPr>
          <w:rFonts w:hint="eastAsia" w:ascii="宋体" w:hAnsi="宋体" w:eastAsia="宋体" w:cs="宋体"/>
          <w:szCs w:val="21"/>
        </w:rPr>
        <w:t>费用</w:t>
      </w:r>
      <w:r>
        <w:rPr>
          <w:rFonts w:ascii="宋体" w:hAnsi="宋体" w:eastAsia="宋体" w:cs="宋体"/>
          <w:szCs w:val="21"/>
        </w:rPr>
        <w:t>。</w:t>
      </w:r>
      <w:r>
        <w:rPr>
          <w:rFonts w:hint="eastAsia" w:ascii="宋体" w:hAnsi="宋体" w:eastAsia="宋体" w:cs="宋体"/>
          <w:szCs w:val="21"/>
        </w:rPr>
        <w:t>（消耗品</w:t>
      </w:r>
      <w:r>
        <w:rPr>
          <w:rFonts w:ascii="宋体" w:hAnsi="宋体" w:eastAsia="宋体" w:cs="宋体"/>
          <w:szCs w:val="21"/>
        </w:rPr>
        <w:t>请详见附件</w:t>
      </w:r>
      <w:r>
        <w:rPr>
          <w:rFonts w:hint="eastAsia" w:ascii="宋体" w:hAnsi="宋体" w:eastAsia="宋体" w:cs="宋体"/>
          <w:szCs w:val="21"/>
        </w:rPr>
        <w:t>一</w:t>
      </w:r>
      <w:r>
        <w:rPr>
          <w:rFonts w:ascii="宋体" w:hAnsi="宋体" w:eastAsia="宋体" w:cs="宋体"/>
          <w:szCs w:val="21"/>
        </w:rPr>
        <w:t>，但不包括日常性耗材。</w:t>
      </w:r>
      <w:r>
        <w:rPr>
          <w:rFonts w:hint="eastAsia" w:ascii="宋体" w:hAnsi="宋体" w:eastAsia="宋体" w:cs="宋体"/>
          <w:szCs w:val="21"/>
        </w:rPr>
        <w:t>）</w:t>
      </w:r>
    </w:p>
    <w:p>
      <w:pPr>
        <w:rPr>
          <w:rFonts w:ascii="宋体" w:hAnsi="宋体" w:eastAsia="宋体" w:cs="宋体"/>
          <w:szCs w:val="21"/>
        </w:rPr>
      </w:pPr>
      <w:r>
        <w:rPr>
          <w:rFonts w:hint="eastAsia" w:ascii="宋体" w:hAnsi="宋体" w:eastAsia="宋体" w:cs="宋体"/>
          <w:szCs w:val="21"/>
        </w:rPr>
        <w:t>三</w:t>
      </w:r>
      <w:r>
        <w:rPr>
          <w:rFonts w:ascii="宋体" w:hAnsi="宋体" w:eastAsia="宋体" w:cs="宋体"/>
          <w:szCs w:val="21"/>
        </w:rPr>
        <w:t>、服务达到的技术指标要求</w:t>
      </w:r>
    </w:p>
    <w:p>
      <w:pPr>
        <w:ind w:firstLine="420"/>
        <w:rPr>
          <w:rFonts w:ascii="宋体" w:hAnsi="宋体" w:eastAsia="宋体" w:cs="宋体"/>
          <w:color w:val="FF0000"/>
          <w:szCs w:val="21"/>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乙方需提供仪器生产厂家对于此项目的维修及维护授权书或者服务承诺书。</w:t>
      </w:r>
    </w:p>
    <w:p>
      <w:pPr>
        <w:ind w:firstLine="420"/>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w:t>
      </w:r>
      <w:r>
        <w:rPr>
          <w:rFonts w:ascii="宋体" w:hAnsi="宋体" w:eastAsia="宋体" w:cs="宋体"/>
          <w:szCs w:val="21"/>
        </w:rPr>
        <w:t>设备维修、维护完毕后质量稳定可靠，操作方便。性能、精度应完全符合技术协议中或甲方要求的技术质量标准和相关行业标准。</w:t>
      </w:r>
    </w:p>
    <w:p>
      <w:pPr>
        <w:ind w:firstLine="420"/>
        <w:rPr>
          <w:rFonts w:ascii="宋体" w:hAnsi="宋体" w:eastAsia="宋体" w:cs="宋体"/>
          <w:szCs w:val="21"/>
        </w:rPr>
      </w:pPr>
      <w:r>
        <w:rPr>
          <w:rFonts w:ascii="宋体" w:hAnsi="宋体" w:eastAsia="宋体" w:cs="宋体"/>
          <w:szCs w:val="21"/>
        </w:rPr>
        <w:t>3、保证甲方相关的检测仪器、设备能正常使用，不影响甲方正常检测工作的进行。</w:t>
      </w:r>
    </w:p>
    <w:p>
      <w:pPr>
        <w:ind w:firstLine="420" w:firstLineChars="200"/>
        <w:rPr>
          <w:rFonts w:ascii="宋体" w:hAnsi="宋体" w:eastAsia="宋体" w:cs="宋体"/>
          <w:szCs w:val="21"/>
        </w:rPr>
      </w:pPr>
      <w:r>
        <w:rPr>
          <w:rFonts w:ascii="宋体" w:hAnsi="宋体" w:eastAsia="宋体" w:cs="宋体"/>
          <w:szCs w:val="21"/>
        </w:rPr>
        <w:t>4、保证甲方相关科研、实验工作的正常开展。</w:t>
      </w:r>
    </w:p>
    <w:p>
      <w:pPr>
        <w:pStyle w:val="2"/>
        <w:rPr>
          <w:rFonts w:ascii="宋体" w:hAnsi="宋体" w:eastAsia="宋体" w:cs="宋体"/>
          <w:szCs w:val="21"/>
          <w:u w:val="none"/>
        </w:rPr>
      </w:pPr>
      <w:r>
        <w:rPr>
          <w:rFonts w:ascii="宋体" w:hAnsi="宋体" w:eastAsia="宋体" w:cs="宋体"/>
          <w:szCs w:val="21"/>
        </w:rPr>
        <w:t xml:space="preserve">    5、</w:t>
      </w:r>
      <w:r>
        <w:rPr>
          <w:rFonts w:hint="eastAsia" w:ascii="宋体" w:hAnsi="宋体" w:eastAsia="宋体" w:cs="宋体"/>
          <w:szCs w:val="21"/>
        </w:rPr>
        <w:t>乙方维保和维修时需更换配件的,应经过甲方确认，未经甲方确认的甲方不予承认；仪器维保和维修所使用的配件及耗材质量，乙方应保证</w:t>
      </w:r>
      <w:r>
        <w:rPr>
          <w:rFonts w:hint="eastAsia" w:ascii="宋体" w:hAnsi="宋体" w:eastAsia="宋体" w:cs="宋体"/>
          <w:szCs w:val="21"/>
          <w:u w:val="none"/>
        </w:rPr>
        <w:t>必须是原厂商原装的、全新的、性能合格的，型号、性能及指标符合国家现行有关技术、质量和安全标准</w:t>
      </w:r>
      <w:r>
        <w:rPr>
          <w:rFonts w:hint="eastAsia" w:ascii="宋体" w:hAnsi="宋体" w:eastAsia="宋体" w:cs="宋体"/>
          <w:szCs w:val="21"/>
          <w:u w:val="none"/>
        </w:rPr>
        <w:t>。</w:t>
      </w:r>
    </w:p>
    <w:p>
      <w:pPr>
        <w:ind w:firstLine="420" w:firstLineChars="200"/>
        <w:jc w:val="left"/>
        <w:rPr>
          <w:rFonts w:ascii="宋体" w:hAnsi="宋体" w:eastAsia="宋体" w:cs="宋体"/>
          <w:szCs w:val="21"/>
        </w:rPr>
      </w:pPr>
      <w:r>
        <w:rPr>
          <w:rFonts w:ascii="宋体" w:hAnsi="宋体" w:eastAsia="宋体" w:cs="宋体"/>
          <w:szCs w:val="21"/>
        </w:rPr>
        <w:t>6</w:t>
      </w:r>
      <w:r>
        <w:rPr>
          <w:rFonts w:hint="eastAsia" w:ascii="宋体" w:hAnsi="宋体" w:eastAsia="宋体" w:cs="宋体"/>
          <w:szCs w:val="21"/>
        </w:rPr>
        <w:t xml:space="preserve">、乙方拟派遣工程师上门服务时，乙方应保证所派遣的工程师具有甲方报修的仪器维修能力和相关职业资格，并经得甲方同意。 </w:t>
      </w:r>
    </w:p>
    <w:p>
      <w:pPr>
        <w:ind w:firstLine="420" w:firstLineChars="200"/>
        <w:rPr>
          <w:rFonts w:ascii="宋体" w:hAnsi="宋体" w:eastAsia="宋体" w:cs="宋体"/>
          <w:b/>
          <w:bCs/>
          <w:szCs w:val="21"/>
        </w:rPr>
      </w:pPr>
      <w:r>
        <w:rPr>
          <w:rFonts w:ascii="宋体" w:hAnsi="宋体" w:eastAsia="宋体" w:cs="宋体"/>
          <w:szCs w:val="21"/>
        </w:rPr>
        <w:t>7</w:t>
      </w:r>
      <w:r>
        <w:rPr>
          <w:rFonts w:hint="eastAsia" w:ascii="宋体" w:hAnsi="宋体" w:eastAsia="宋体" w:cs="宋体"/>
          <w:szCs w:val="21"/>
        </w:rPr>
        <w:t xml:space="preserve">、液质联用仪需提供一次主动预防性性能维护，维护还需提供维护性能包，里面包含泵、进样器、质谱所需维护耗材，以及维护所需上门/工时费。 </w:t>
      </w:r>
    </w:p>
    <w:p>
      <w:pPr>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szCs w:val="21"/>
        </w:rPr>
      </w:pPr>
      <w:r>
        <w:rPr>
          <w:rFonts w:hint="eastAsia" w:ascii="宋体" w:hAnsi="宋体" w:eastAsia="宋体" w:cs="宋体"/>
          <w:b/>
          <w:bCs/>
          <w:szCs w:val="21"/>
        </w:rPr>
        <w:t>附件一、</w:t>
      </w:r>
      <w:r>
        <w:rPr>
          <w:rFonts w:ascii="宋体" w:hAnsi="宋体" w:eastAsia="宋体" w:cs="宋体"/>
          <w:b/>
          <w:bCs/>
          <w:szCs w:val="21"/>
        </w:rPr>
        <w:t>维修</w:t>
      </w:r>
      <w:r>
        <w:rPr>
          <w:rFonts w:hint="eastAsia" w:ascii="宋体" w:hAnsi="宋体" w:eastAsia="宋体" w:cs="宋体"/>
          <w:b/>
          <w:bCs/>
          <w:szCs w:val="21"/>
        </w:rPr>
        <w:t>计划服务条款</w:t>
      </w:r>
    </w:p>
    <w:p>
      <w:pPr>
        <w:pStyle w:val="10"/>
        <w:shd w:val="clear" w:color="auto" w:fill="FFFFFF"/>
        <w:spacing w:before="0" w:beforeAutospacing="0" w:after="0" w:afterAutospacing="0" w:line="440" w:lineRule="exact"/>
        <w:ind w:firstLine="652"/>
        <w:rPr>
          <w:kern w:val="2"/>
          <w:sz w:val="21"/>
          <w:szCs w:val="21"/>
        </w:rPr>
      </w:pPr>
      <w:r>
        <w:rPr>
          <w:kern w:val="2"/>
          <w:sz w:val="21"/>
          <w:szCs w:val="21"/>
        </w:rPr>
        <w:t>服务包括：协助查找和解决硬件与软件问题的电话支持、提供现场硬件故障排除及维修。所有劳务费、差旅费和维修部件（包括需要维修的消耗品部件）均包含在内。服务可用的情况下还包括远程顾问协助服务。</w:t>
      </w:r>
    </w:p>
    <w:p>
      <w:pPr>
        <w:pStyle w:val="10"/>
        <w:shd w:val="clear" w:color="auto" w:fill="FFFFFF"/>
        <w:spacing w:before="0" w:beforeAutospacing="0" w:after="0" w:afterAutospacing="0" w:line="440" w:lineRule="exact"/>
        <w:ind w:firstLine="652"/>
        <w:rPr>
          <w:kern w:val="2"/>
          <w:sz w:val="21"/>
          <w:szCs w:val="21"/>
        </w:rPr>
      </w:pPr>
      <w:r>
        <w:rPr>
          <w:kern w:val="2"/>
          <w:sz w:val="21"/>
          <w:szCs w:val="21"/>
        </w:rPr>
        <w:t>关于仪器维修服务合同中的备件：主要备件覆盖范围，仪器保修合同非消耗品维修备件覆盖范围包括但不限于下列表格中的描述。</w:t>
      </w:r>
    </w:p>
    <w:p>
      <w:pPr>
        <w:jc w:val="center"/>
        <w:rPr>
          <w:rFonts w:ascii="宋体" w:hAnsi="宋体"/>
          <w:b/>
          <w:sz w:val="24"/>
          <w:szCs w:val="28"/>
        </w:rPr>
      </w:pPr>
    </w:p>
    <w:tbl>
      <w:tblPr>
        <w:tblStyle w:val="5"/>
        <w:tblW w:w="9942" w:type="dxa"/>
        <w:jc w:val="center"/>
        <w:tblLayout w:type="fixed"/>
        <w:tblCellMar>
          <w:top w:w="0" w:type="dxa"/>
          <w:left w:w="0" w:type="dxa"/>
          <w:bottom w:w="0" w:type="dxa"/>
          <w:right w:w="0" w:type="dxa"/>
        </w:tblCellMar>
      </w:tblPr>
      <w:tblGrid>
        <w:gridCol w:w="2916"/>
        <w:gridCol w:w="7026"/>
      </w:tblGrid>
      <w:tr>
        <w:tblPrEx>
          <w:tblCellMar>
            <w:top w:w="0" w:type="dxa"/>
            <w:left w:w="0" w:type="dxa"/>
            <w:bottom w:w="0" w:type="dxa"/>
            <w:right w:w="0" w:type="dxa"/>
          </w:tblCellMar>
        </w:tblPrEx>
        <w:trPr>
          <w:trHeight w:val="624" w:hRule="exact"/>
          <w:tblHeader/>
          <w:jc w:val="center"/>
        </w:trPr>
        <w:tc>
          <w:tcPr>
            <w:tcW w:w="2916" w:type="dxa"/>
            <w:tcBorders>
              <w:top w:val="single" w:color="000000" w:sz="4" w:space="0"/>
              <w:left w:val="single" w:color="000000" w:sz="4" w:space="0"/>
              <w:bottom w:val="single" w:color="000000" w:sz="4" w:space="0"/>
              <w:right w:val="single" w:color="000000" w:sz="4" w:space="0"/>
            </w:tcBorders>
            <w:shd w:val="clear" w:color="auto" w:fill="DADADA" w:themeFill="accent3" w:themeFillTint="66"/>
            <w:vAlign w:val="center"/>
          </w:tcPr>
          <w:p>
            <w:pPr>
              <w:tabs>
                <w:tab w:val="left" w:pos="940"/>
              </w:tabs>
              <w:spacing w:line="266" w:lineRule="exact"/>
              <w:ind w:left="551" w:right="-20"/>
              <w:jc w:val="center"/>
              <w:rPr>
                <w:rFonts w:cs="Microsoft JhengHei" w:asciiTheme="minorHAnsi" w:hAnsiTheme="minorHAnsi" w:eastAsiaTheme="minorEastAsia"/>
                <w:b/>
                <w:bCs/>
                <w:sz w:val="24"/>
              </w:rPr>
            </w:pPr>
            <w:r>
              <w:rPr>
                <w:rFonts w:cs="Microsoft JhengHei" w:asciiTheme="minorHAnsi" w:hAnsiTheme="minorHAnsi" w:eastAsiaTheme="minorEastAsia"/>
                <w:b/>
                <w:bCs/>
                <w:sz w:val="24"/>
              </w:rPr>
              <w:t>仪器型号</w:t>
            </w:r>
          </w:p>
        </w:tc>
        <w:tc>
          <w:tcPr>
            <w:tcW w:w="7026" w:type="dxa"/>
            <w:tcBorders>
              <w:top w:val="single" w:color="000000" w:sz="4" w:space="0"/>
              <w:left w:val="single" w:color="000000" w:sz="4" w:space="0"/>
              <w:bottom w:val="single" w:color="000000" w:sz="4" w:space="0"/>
              <w:right w:val="single" w:color="000000" w:sz="4" w:space="0"/>
            </w:tcBorders>
            <w:shd w:val="clear" w:color="auto" w:fill="DADADA" w:themeFill="accent3" w:themeFillTint="66"/>
            <w:vAlign w:val="center"/>
          </w:tcPr>
          <w:p>
            <w:pPr>
              <w:tabs>
                <w:tab w:val="left" w:pos="2759"/>
                <w:tab w:val="center" w:pos="3782"/>
              </w:tabs>
              <w:spacing w:line="350" w:lineRule="exact"/>
              <w:ind w:left="2652" w:right="2601"/>
              <w:jc w:val="left"/>
              <w:rPr>
                <w:rFonts w:cs="Microsoft JhengHei" w:asciiTheme="minorHAnsi" w:hAnsiTheme="minorHAnsi" w:eastAsiaTheme="minorEastAsia"/>
                <w:b/>
                <w:bCs/>
                <w:sz w:val="24"/>
              </w:rPr>
            </w:pPr>
            <w:r>
              <w:rPr>
                <w:rFonts w:cs="Microsoft JhengHei" w:asciiTheme="minorHAnsi" w:hAnsiTheme="minorHAnsi" w:eastAsiaTheme="minorEastAsia"/>
                <w:b/>
                <w:bCs/>
                <w:sz w:val="24"/>
              </w:rPr>
              <w:tab/>
            </w:r>
            <w:r>
              <w:rPr>
                <w:rFonts w:cs="Microsoft JhengHei" w:asciiTheme="minorHAnsi" w:hAnsiTheme="minorHAnsi" w:eastAsiaTheme="minorEastAsia"/>
                <w:b/>
                <w:bCs/>
                <w:sz w:val="24"/>
              </w:rPr>
              <w:t>主要维修</w:t>
            </w:r>
            <w:r>
              <w:rPr>
                <w:rFonts w:hint="eastAsia" w:cs="Microsoft JhengHei" w:asciiTheme="minorHAnsi" w:hAnsiTheme="minorHAnsi" w:eastAsiaTheme="minorEastAsia"/>
                <w:b/>
                <w:bCs/>
                <w:sz w:val="24"/>
              </w:rPr>
              <w:t>备件</w:t>
            </w:r>
          </w:p>
        </w:tc>
      </w:tr>
      <w:tr>
        <w:tblPrEx>
          <w:tblCellMar>
            <w:top w:w="0" w:type="dxa"/>
            <w:left w:w="0" w:type="dxa"/>
            <w:bottom w:w="0" w:type="dxa"/>
            <w:right w:w="0" w:type="dxa"/>
          </w:tblCellMar>
        </w:tblPrEx>
        <w:trPr>
          <w:trHeight w:val="924" w:hRule="exact"/>
          <w:jc w:val="center"/>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9" w:line="240" w:lineRule="auto"/>
              <w:ind w:left="265" w:right="213"/>
              <w:jc w:val="center"/>
              <w:rPr>
                <w:rFonts w:ascii="宋体" w:hAnsi="宋体" w:eastAsia="宋体" w:cs="Microsoft JhengHei"/>
                <w:sz w:val="18"/>
                <w:szCs w:val="18"/>
              </w:rPr>
            </w:pPr>
            <w:r>
              <w:rPr>
                <w:rFonts w:ascii="宋体" w:hAnsi="宋体" w:eastAsia="宋体" w:cs="Microsoft JhengHei"/>
                <w:sz w:val="18"/>
                <w:szCs w:val="18"/>
              </w:rPr>
              <w:t>气相色谱（包括 Agilent</w:t>
            </w:r>
          </w:p>
          <w:p>
            <w:pPr>
              <w:spacing w:line="240" w:lineRule="auto"/>
              <w:ind w:left="268" w:right="219"/>
              <w:rPr>
                <w:rFonts w:ascii="宋体" w:hAnsi="宋体" w:eastAsia="宋体" w:cs="Microsoft JhengHei"/>
                <w:sz w:val="18"/>
                <w:szCs w:val="18"/>
              </w:rPr>
            </w:pPr>
            <w:r>
              <w:rPr>
                <w:rFonts w:ascii="宋体" w:hAnsi="宋体" w:eastAsia="宋体" w:cs="Microsoft JhengHei"/>
                <w:sz w:val="18"/>
                <w:szCs w:val="18"/>
              </w:rPr>
              <w:t>6890/7890/8890等）</w:t>
            </w:r>
          </w:p>
        </w:tc>
        <w:tc>
          <w:tcPr>
            <w:tcW w:w="7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102" w:right="38"/>
              <w:rPr>
                <w:rFonts w:ascii="宋体" w:hAnsi="宋体" w:eastAsia="宋体" w:cs="Microsoft JhengHei"/>
                <w:sz w:val="18"/>
                <w:szCs w:val="18"/>
              </w:rPr>
            </w:pPr>
            <w:r>
              <w:rPr>
                <w:rFonts w:ascii="宋体" w:hAnsi="宋体" w:eastAsia="宋体" w:cs="Microsoft JhengHei"/>
                <w:sz w:val="18"/>
                <w:szCs w:val="18"/>
              </w:rPr>
              <w:t>所有控制及信号采集用电路板、主电源、柱箱温控系统、气体 流量控制模块、检 测器组件、自动进样器、阀系统</w:t>
            </w:r>
          </w:p>
        </w:tc>
      </w:tr>
      <w:tr>
        <w:tblPrEx>
          <w:tblCellMar>
            <w:top w:w="0" w:type="dxa"/>
            <w:left w:w="0" w:type="dxa"/>
            <w:bottom w:w="0" w:type="dxa"/>
            <w:right w:w="0" w:type="dxa"/>
          </w:tblCellMar>
        </w:tblPrEx>
        <w:trPr>
          <w:trHeight w:val="995" w:hRule="exact"/>
          <w:jc w:val="center"/>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386" w:right="333"/>
              <w:jc w:val="center"/>
              <w:rPr>
                <w:rFonts w:ascii="宋体" w:hAnsi="宋体" w:eastAsia="宋体" w:cs="Microsoft JhengHei"/>
                <w:sz w:val="18"/>
                <w:szCs w:val="18"/>
              </w:rPr>
            </w:pPr>
            <w:r>
              <w:rPr>
                <w:rFonts w:ascii="宋体" w:hAnsi="宋体" w:eastAsia="宋体" w:cs="Microsoft JhengHei"/>
                <w:sz w:val="18"/>
                <w:szCs w:val="18"/>
              </w:rPr>
              <w:t>气相色谱质谱（包括Agilent 5975/5977</w:t>
            </w:r>
            <w:r>
              <w:rPr>
                <w:rFonts w:hint="eastAsia" w:ascii="宋体" w:hAnsi="宋体" w:eastAsia="宋体" w:cs="Microsoft JhengHei"/>
                <w:sz w:val="18"/>
                <w:szCs w:val="18"/>
              </w:rPr>
              <w:t>/</w:t>
            </w:r>
            <w:r>
              <w:rPr>
                <w:rFonts w:ascii="宋体" w:hAnsi="宋体" w:eastAsia="宋体" w:cs="Microsoft JhengHei"/>
                <w:sz w:val="18"/>
                <w:szCs w:val="18"/>
              </w:rPr>
              <w:t>7000等）</w:t>
            </w:r>
          </w:p>
        </w:tc>
        <w:tc>
          <w:tcPr>
            <w:tcW w:w="7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102" w:right="-101"/>
              <w:rPr>
                <w:rFonts w:ascii="宋体" w:hAnsi="宋体" w:eastAsia="宋体" w:cs="Microsoft JhengHei"/>
                <w:sz w:val="18"/>
                <w:szCs w:val="18"/>
              </w:rPr>
            </w:pPr>
            <w:r>
              <w:rPr>
                <w:rFonts w:ascii="宋体" w:hAnsi="宋体" w:eastAsia="宋体" w:cs="Microsoft JhengHei"/>
                <w:sz w:val="18"/>
                <w:szCs w:val="18"/>
              </w:rPr>
              <w:t>所有控制及信号采集用电路板、主电源、各高压电源、离子源 组件、离子光学组 件、</w:t>
            </w:r>
          </w:p>
          <w:p>
            <w:pPr>
              <w:spacing w:line="240" w:lineRule="auto"/>
              <w:ind w:left="102" w:right="-101"/>
              <w:rPr>
                <w:rFonts w:ascii="宋体" w:hAnsi="宋体" w:eastAsia="宋体" w:cs="Microsoft JhengHei"/>
                <w:sz w:val="18"/>
                <w:szCs w:val="18"/>
              </w:rPr>
            </w:pPr>
            <w:r>
              <w:rPr>
                <w:rFonts w:ascii="宋体" w:hAnsi="宋体" w:eastAsia="宋体" w:cs="Microsoft JhengHei"/>
                <w:sz w:val="18"/>
                <w:szCs w:val="18"/>
              </w:rPr>
              <w:t>质量分析器（四极杆或离子阱）、检测 器组件、前级泵、涡轮泵、真空规、 温控系统</w:t>
            </w:r>
          </w:p>
        </w:tc>
      </w:tr>
      <w:tr>
        <w:tblPrEx>
          <w:tblCellMar>
            <w:top w:w="0" w:type="dxa"/>
            <w:left w:w="0" w:type="dxa"/>
            <w:bottom w:w="0" w:type="dxa"/>
            <w:right w:w="0" w:type="dxa"/>
          </w:tblCellMar>
        </w:tblPrEx>
        <w:trPr>
          <w:trHeight w:val="981" w:hRule="exact"/>
          <w:jc w:val="center"/>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69" w:line="240" w:lineRule="auto"/>
              <w:ind w:left="217" w:right="165"/>
              <w:jc w:val="center"/>
              <w:rPr>
                <w:rFonts w:ascii="宋体" w:hAnsi="宋体" w:eastAsia="宋体" w:cs="Microsoft JhengHei"/>
                <w:sz w:val="18"/>
                <w:szCs w:val="18"/>
              </w:rPr>
            </w:pPr>
            <w:r>
              <w:rPr>
                <w:rFonts w:ascii="宋体" w:hAnsi="宋体" w:eastAsia="宋体" w:cs="Microsoft JhengHei"/>
                <w:sz w:val="18"/>
                <w:szCs w:val="18"/>
              </w:rPr>
              <w:t>液相色谱（包括 Agilent</w:t>
            </w:r>
          </w:p>
          <w:p>
            <w:pPr>
              <w:spacing w:line="240" w:lineRule="auto"/>
              <w:ind w:left="172" w:right="123"/>
              <w:jc w:val="center"/>
              <w:rPr>
                <w:rFonts w:ascii="宋体" w:hAnsi="宋体" w:eastAsia="宋体" w:cs="Microsoft JhengHei"/>
                <w:sz w:val="18"/>
                <w:szCs w:val="18"/>
              </w:rPr>
            </w:pPr>
            <w:r>
              <w:rPr>
                <w:rFonts w:ascii="宋体" w:hAnsi="宋体" w:eastAsia="宋体" w:cs="Microsoft JhengHei"/>
                <w:sz w:val="18"/>
                <w:szCs w:val="18"/>
              </w:rPr>
              <w:t>1100/1200/1260</w:t>
            </w:r>
            <w:r>
              <w:rPr>
                <w:rFonts w:hint="eastAsia" w:ascii="宋体" w:hAnsi="宋体" w:eastAsia="宋体" w:cs="Microsoft JhengHei"/>
                <w:sz w:val="18"/>
                <w:szCs w:val="18"/>
              </w:rPr>
              <w:t>/</w:t>
            </w:r>
            <w:r>
              <w:rPr>
                <w:rFonts w:ascii="宋体" w:hAnsi="宋体" w:eastAsia="宋体" w:cs="Microsoft JhengHei"/>
                <w:sz w:val="18"/>
                <w:szCs w:val="18"/>
              </w:rPr>
              <w:t>1290等）</w:t>
            </w:r>
          </w:p>
        </w:tc>
        <w:tc>
          <w:tcPr>
            <w:tcW w:w="7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102" w:right="-90"/>
              <w:rPr>
                <w:rFonts w:ascii="宋体" w:hAnsi="宋体" w:eastAsia="宋体" w:cs="Microsoft JhengHei"/>
                <w:sz w:val="18"/>
                <w:szCs w:val="18"/>
              </w:rPr>
            </w:pPr>
            <w:r>
              <w:rPr>
                <w:rFonts w:ascii="宋体" w:hAnsi="宋体" w:eastAsia="宋体" w:cs="Microsoft JhengHei"/>
                <w:sz w:val="18"/>
                <w:szCs w:val="18"/>
              </w:rPr>
              <w:t>所有控制及信号采集用电路板、主电源、脱气单元、泵头、 泵头驱动马达、压力</w:t>
            </w:r>
          </w:p>
          <w:p>
            <w:pPr>
              <w:spacing w:line="240" w:lineRule="auto"/>
              <w:ind w:left="102" w:right="-95"/>
              <w:rPr>
                <w:rFonts w:ascii="宋体" w:hAnsi="宋体" w:eastAsia="宋体" w:cs="Microsoft JhengHei"/>
                <w:sz w:val="18"/>
                <w:szCs w:val="18"/>
              </w:rPr>
            </w:pPr>
            <w:r>
              <w:rPr>
                <w:rFonts w:ascii="宋体" w:hAnsi="宋体" w:eastAsia="宋体" w:cs="Microsoft JhengHei"/>
                <w:sz w:val="18"/>
                <w:szCs w:val="18"/>
              </w:rPr>
              <w:t>传感器、阻尼器、混合器、自动进样器进样  臂组件、样品计量组件、柱温箱温控</w:t>
            </w:r>
          </w:p>
          <w:p>
            <w:pPr>
              <w:spacing w:line="240" w:lineRule="auto"/>
              <w:ind w:left="102" w:right="-20"/>
              <w:rPr>
                <w:rFonts w:ascii="宋体" w:hAnsi="宋体" w:eastAsia="宋体" w:cs="Microsoft JhengHei"/>
                <w:sz w:val="18"/>
                <w:szCs w:val="18"/>
              </w:rPr>
            </w:pPr>
            <w:r>
              <w:rPr>
                <w:rFonts w:ascii="宋体" w:hAnsi="宋体" w:eastAsia="宋体" w:cs="Microsoft JhengHei"/>
                <w:sz w:val="18"/>
                <w:szCs w:val="18"/>
              </w:rPr>
              <w:t>组件、阀系统及其驱动、 检测器光路组件</w:t>
            </w:r>
          </w:p>
        </w:tc>
      </w:tr>
      <w:tr>
        <w:tblPrEx>
          <w:tblCellMar>
            <w:top w:w="0" w:type="dxa"/>
            <w:left w:w="0" w:type="dxa"/>
            <w:bottom w:w="0" w:type="dxa"/>
            <w:right w:w="0" w:type="dxa"/>
          </w:tblCellMar>
        </w:tblPrEx>
        <w:trPr>
          <w:trHeight w:val="1291" w:hRule="exact"/>
          <w:jc w:val="center"/>
        </w:trPr>
        <w:tc>
          <w:tcPr>
            <w:tcW w:w="291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330" w:right="274"/>
              <w:jc w:val="center"/>
              <w:rPr>
                <w:rFonts w:ascii="宋体" w:hAnsi="宋体" w:eastAsia="宋体" w:cs="Microsoft JhengHei"/>
                <w:sz w:val="18"/>
                <w:szCs w:val="18"/>
              </w:rPr>
            </w:pPr>
            <w:r>
              <w:rPr>
                <w:rFonts w:ascii="宋体" w:hAnsi="宋体" w:eastAsia="宋体" w:cs="Microsoft JhengHei"/>
                <w:sz w:val="18"/>
                <w:szCs w:val="18"/>
              </w:rPr>
              <w:t>液相色谱质谱（包括Agilent 6000 系列）</w:t>
            </w:r>
          </w:p>
        </w:tc>
        <w:tc>
          <w:tcPr>
            <w:tcW w:w="70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left="102" w:right="-94"/>
              <w:rPr>
                <w:rFonts w:ascii="宋体" w:hAnsi="宋体" w:eastAsia="宋体" w:cs="Microsoft JhengHei"/>
                <w:sz w:val="18"/>
                <w:szCs w:val="18"/>
              </w:rPr>
            </w:pPr>
            <w:r>
              <w:rPr>
                <w:rFonts w:ascii="宋体" w:hAnsi="宋体" w:eastAsia="宋体" w:cs="Microsoft JhengHei"/>
                <w:sz w:val="18"/>
                <w:szCs w:val="18"/>
              </w:rPr>
              <w:t>所有控制及信号采集用电路板、主电源、各高压电源、离子源 组件、去溶剂化系 统、</w:t>
            </w:r>
          </w:p>
          <w:p>
            <w:pPr>
              <w:spacing w:line="240" w:lineRule="auto"/>
              <w:ind w:left="102" w:right="-94"/>
              <w:rPr>
                <w:rFonts w:ascii="宋体" w:hAnsi="宋体" w:eastAsia="宋体" w:cs="Microsoft JhengHei"/>
                <w:sz w:val="18"/>
                <w:szCs w:val="18"/>
              </w:rPr>
            </w:pPr>
            <w:r>
              <w:rPr>
                <w:rFonts w:ascii="宋体" w:hAnsi="宋体" w:eastAsia="宋体" w:cs="Microsoft JhengHei"/>
                <w:sz w:val="18"/>
                <w:szCs w:val="18"/>
              </w:rPr>
              <w:t>离子光学组件、质量分析器（四极杆、 离子阱或飞行管）、检测器组件、前 级泵、</w:t>
            </w:r>
          </w:p>
          <w:p>
            <w:pPr>
              <w:spacing w:line="240" w:lineRule="auto"/>
              <w:ind w:left="102" w:right="-94"/>
              <w:rPr>
                <w:rFonts w:ascii="宋体" w:hAnsi="宋体" w:eastAsia="宋体" w:cs="Microsoft JhengHei"/>
                <w:sz w:val="18"/>
                <w:szCs w:val="18"/>
              </w:rPr>
            </w:pPr>
            <w:r>
              <w:rPr>
                <w:rFonts w:ascii="宋体" w:hAnsi="宋体" w:eastAsia="宋体" w:cs="Microsoft JhengHei"/>
                <w:sz w:val="18"/>
                <w:szCs w:val="18"/>
              </w:rPr>
              <w:t>涡轮泵、真空规、 温控系统、阀系统、气体流量控制系统</w:t>
            </w:r>
          </w:p>
        </w:tc>
      </w:tr>
    </w:tbl>
    <w:p>
      <w:pPr>
        <w:jc w:val="center"/>
        <w:rPr>
          <w:rFonts w:ascii="宋体" w:hAnsi="宋体" w:eastAsia="宋体" w:cs="宋体"/>
          <w:szCs w:val="21"/>
        </w:rPr>
      </w:pPr>
    </w:p>
    <w:p>
      <w:pPr>
        <w:jc w:val="center"/>
      </w:pPr>
      <w:r>
        <w:rPr>
          <w:rFonts w:hint="eastAsia" w:ascii="宋体" w:hAnsi="宋体" w:eastAsia="宋体" w:cs="宋体"/>
          <w:szCs w:val="21"/>
        </w:rPr>
        <w:t>维修耗材列表说明</w:t>
      </w:r>
      <w:r>
        <w:rPr>
          <w:rFonts w:hint="eastAsia"/>
        </w:rPr>
        <w:t xml:space="preserve">                                  </w:t>
      </w:r>
    </w:p>
    <w:p>
      <w:pPr>
        <w:ind w:left="105" w:leftChars="50" w:firstLine="315" w:firstLineChars="150"/>
        <w:rPr>
          <w:rFonts w:ascii="宋体" w:hAnsi="宋体" w:eastAsia="宋体" w:cs="宋体"/>
          <w:szCs w:val="21"/>
        </w:rPr>
      </w:pPr>
      <w:r>
        <w:rPr>
          <w:rFonts w:hint="eastAsia" w:ascii="宋体" w:hAnsi="宋体" w:eastAsia="宋体" w:cs="宋体"/>
          <w:szCs w:val="21"/>
        </w:rPr>
        <w:t>表中所列的消耗品是工程师在做现场服务中可能用到时，由乙方提供。乙方不为用户提供日常分析操作所需消耗品，所以即使在以下消耗品清单中的部件，如属于日常分析所需，仍是用户的责任。除非另外声明，这些包括在合同范围里的消耗品数量限于能让仪器恢复到正常运行为止。</w:t>
      </w:r>
    </w:p>
    <w:p>
      <w:pPr>
        <w:ind w:left="105" w:leftChars="50" w:firstLine="315" w:firstLineChars="150"/>
        <w:rPr>
          <w:sz w:val="24"/>
        </w:rPr>
      </w:pPr>
      <w:r>
        <w:drawing>
          <wp:inline distT="0" distB="0" distL="0" distR="0">
            <wp:extent cx="5078095" cy="4324350"/>
            <wp:effectExtent l="0" t="0" r="8255" b="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6"/>
                    <a:srcRect r="188" b="45748"/>
                    <a:stretch>
                      <a:fillRect/>
                    </a:stretch>
                  </pic:blipFill>
                  <pic:spPr>
                    <a:xfrm>
                      <a:off x="0" y="0"/>
                      <a:ext cx="5083431" cy="4328561"/>
                    </a:xfrm>
                    <a:prstGeom prst="rect">
                      <a:avLst/>
                    </a:prstGeom>
                    <a:ln>
                      <a:noFill/>
                    </a:ln>
                  </pic:spPr>
                </pic:pic>
              </a:graphicData>
            </a:graphic>
          </wp:inline>
        </w:drawing>
      </w:r>
    </w:p>
    <w:p>
      <w:pPr>
        <w:ind w:left="105" w:leftChars="50" w:firstLine="315" w:firstLineChars="150"/>
        <w:rPr>
          <w:rFonts w:ascii="宋体" w:hAnsi="宋体" w:eastAsia="宋体" w:cs="宋体"/>
          <w:szCs w:val="21"/>
        </w:rPr>
      </w:pPr>
      <w:r>
        <w:drawing>
          <wp:inline distT="0" distB="0" distL="0" distR="0">
            <wp:extent cx="4648200" cy="3914775"/>
            <wp:effectExtent l="0" t="0" r="0" b="9525"/>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7"/>
                    <a:srcRect l="783" t="47415"/>
                    <a:stretch>
                      <a:fillRect/>
                    </a:stretch>
                  </pic:blipFill>
                  <pic:spPr>
                    <a:xfrm>
                      <a:off x="0" y="0"/>
                      <a:ext cx="4648890" cy="3915356"/>
                    </a:xfrm>
                    <a:prstGeom prst="rect">
                      <a:avLst/>
                    </a:prstGeom>
                    <a:ln>
                      <a:noFill/>
                    </a:ln>
                  </pic:spPr>
                </pic:pic>
              </a:graphicData>
            </a:graphic>
          </wp:inline>
        </w:drawing>
      </w:r>
      <w:r>
        <w:rPr>
          <w:rFonts w:hint="eastAsia" w:ascii="宋体" w:hAnsi="宋体" w:eastAsia="宋体" w:cs="宋体"/>
          <w:szCs w:val="21"/>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Microsoft JhengHei">
    <w:altName w:val="URW Bookman"/>
    <w:panose1 w:val="020B0604030504040204"/>
    <w:charset w:val="88"/>
    <w:family w:val="swiss"/>
    <w:pitch w:val="default"/>
    <w:sig w:usb0="00000000" w:usb1="00000000" w:usb2="00000016" w:usb3="00000000" w:csb0="00100009" w:csb1="00000000"/>
  </w:font>
  <w:font w:name="URW Bookman">
    <w:panose1 w:val="00000400000000000000"/>
    <w:charset w:val="00"/>
    <w:family w:val="auto"/>
    <w:pitch w:val="default"/>
    <w:sig w:usb0="00000287" w:usb1="00000800" w:usb2="00000000" w:usb3="00000000" w:csb0="6000009F"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4B"/>
    <w:rsid w:val="000A133C"/>
    <w:rsid w:val="000C1E37"/>
    <w:rsid w:val="002C1ABD"/>
    <w:rsid w:val="00330444"/>
    <w:rsid w:val="004054D4"/>
    <w:rsid w:val="0056738F"/>
    <w:rsid w:val="00572735"/>
    <w:rsid w:val="005842DA"/>
    <w:rsid w:val="00763121"/>
    <w:rsid w:val="008C7CD9"/>
    <w:rsid w:val="00A04A4A"/>
    <w:rsid w:val="00A921D7"/>
    <w:rsid w:val="00AE0146"/>
    <w:rsid w:val="00AF044B"/>
    <w:rsid w:val="00BB1EC6"/>
    <w:rsid w:val="00C747F1"/>
    <w:rsid w:val="00D40010"/>
    <w:rsid w:val="00D406CF"/>
    <w:rsid w:val="00EA0BF5"/>
    <w:rsid w:val="00EC3FC2"/>
    <w:rsid w:val="00FD495A"/>
    <w:rsid w:val="5776F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仿宋"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正文文本 字符"/>
    <w:basedOn w:val="6"/>
    <w:link w:val="2"/>
    <w:qFormat/>
    <w:uiPriority w:val="99"/>
    <w:rPr>
      <w:rFonts w:ascii="Times New Roman" w:hAnsi="Times New Roman" w:eastAsia="仿宋" w:cs="Times New Roman"/>
    </w:rPr>
  </w:style>
  <w:style w:type="paragraph" w:customStyle="1" w:styleId="10">
    <w:name w:val="reader-word-layer"/>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267</Words>
  <Characters>1524</Characters>
  <Lines>12</Lines>
  <Paragraphs>3</Paragraphs>
  <TotalTime>27</TotalTime>
  <ScaleCrop>false</ScaleCrop>
  <LinksUpToDate>false</LinksUpToDate>
  <CharactersWithSpaces>1788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2022-12-14T17:47:00Z</dcterms:created>
  <dc:creator>XIE,YALI (Agilent CHN)</dc:creator>
  <cp:lastModifiedBy>huanghe</cp:lastModifiedBy>
  <dcterms:modified xsi:type="dcterms:W3CDTF">2022-12-15T08:45:55Z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