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A6E" w:rsidRPr="002677CF" w:rsidRDefault="0073498B">
      <w:pPr>
        <w:jc w:val="center"/>
        <w:rPr>
          <w:rFonts w:ascii="方正小标宋简体" w:eastAsia="方正小标宋简体"/>
          <w:color w:val="000000" w:themeColor="text1"/>
          <w:sz w:val="44"/>
          <w:szCs w:val="44"/>
        </w:rPr>
      </w:pPr>
      <w:r w:rsidRPr="002677CF">
        <w:rPr>
          <w:rFonts w:ascii="方正小标宋简体" w:eastAsia="方正小标宋简体" w:hint="eastAsia"/>
          <w:color w:val="000000" w:themeColor="text1"/>
          <w:sz w:val="44"/>
          <w:szCs w:val="44"/>
        </w:rPr>
        <w:t>微波消解仪</w:t>
      </w:r>
    </w:p>
    <w:p w:rsidR="00443A6E" w:rsidRDefault="00443A6E">
      <w:pPr>
        <w:jc w:val="center"/>
        <w:rPr>
          <w:b/>
          <w:color w:val="000000" w:themeColor="text1"/>
        </w:rPr>
      </w:pPr>
    </w:p>
    <w:p w:rsidR="00443A6E" w:rsidRPr="002677CF" w:rsidRDefault="0073498B" w:rsidP="007318F2">
      <w:pPr>
        <w:numPr>
          <w:ilvl w:val="0"/>
          <w:numId w:val="1"/>
        </w:numPr>
        <w:spacing w:line="360" w:lineRule="atLeast"/>
        <w:jc w:val="left"/>
        <w:rPr>
          <w:rFonts w:ascii="仿宋_GB2312" w:eastAsia="仿宋_GB2312" w:hAnsi="宋体" w:cs="宋体"/>
          <w:sz w:val="32"/>
          <w:szCs w:val="32"/>
        </w:rPr>
      </w:pPr>
      <w:r w:rsidRPr="002677CF">
        <w:rPr>
          <w:rFonts w:ascii="仿宋_GB2312" w:eastAsia="仿宋_GB2312" w:hAnsi="宋体" w:cs="宋体" w:hint="eastAsia"/>
          <w:sz w:val="32"/>
          <w:szCs w:val="32"/>
        </w:rPr>
        <w:t>总体要求：仪器消解炉门采用正前方左右开门结构设计，能够同批次处理≥40个（消解罐：罐内体积≥60ml）样品；同时非接触地控制所有样品罐的温度和压力，无需任何有线连接形式的传感器，无任何易耗品。整机安装功率≤3200W。</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 技术参数</w:t>
      </w:r>
    </w:p>
    <w:p w:rsidR="00443A6E" w:rsidRPr="002677CF" w:rsidRDefault="00443A6E" w:rsidP="007318F2">
      <w:pPr>
        <w:pStyle w:val="ae"/>
        <w:numPr>
          <w:ilvl w:val="0"/>
          <w:numId w:val="2"/>
        </w:numPr>
        <w:spacing w:line="440" w:lineRule="exact"/>
        <w:ind w:left="0" w:firstLineChars="0" w:firstLine="0"/>
        <w:jc w:val="left"/>
        <w:rPr>
          <w:rFonts w:ascii="仿宋_GB2312" w:eastAsia="仿宋_GB2312" w:hAnsiTheme="majorEastAsia"/>
          <w:vanish/>
          <w:color w:val="000000" w:themeColor="text1"/>
          <w:sz w:val="32"/>
          <w:szCs w:val="32"/>
        </w:rPr>
      </w:pPr>
    </w:p>
    <w:p w:rsidR="00443A6E" w:rsidRPr="002677CF" w:rsidRDefault="00443A6E" w:rsidP="007318F2">
      <w:pPr>
        <w:pStyle w:val="ae"/>
        <w:numPr>
          <w:ilvl w:val="0"/>
          <w:numId w:val="2"/>
        </w:numPr>
        <w:spacing w:line="440" w:lineRule="exact"/>
        <w:ind w:left="0" w:firstLineChars="0" w:firstLine="0"/>
        <w:jc w:val="left"/>
        <w:rPr>
          <w:rFonts w:ascii="仿宋_GB2312" w:eastAsia="仿宋_GB2312" w:hAnsiTheme="majorEastAsia"/>
          <w:vanish/>
          <w:color w:val="000000" w:themeColor="text1"/>
          <w:sz w:val="32"/>
          <w:szCs w:val="32"/>
        </w:rPr>
      </w:pP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sz w:val="32"/>
          <w:szCs w:val="32"/>
        </w:rPr>
        <w:t>2.1</w:t>
      </w:r>
      <w:r w:rsidR="007318F2">
        <w:rPr>
          <w:rFonts w:ascii="仿宋_GB2312" w:eastAsia="仿宋_GB2312" w:hAnsiTheme="majorEastAsia" w:hint="eastAsia"/>
          <w:sz w:val="32"/>
          <w:szCs w:val="32"/>
        </w:rPr>
        <w:t xml:space="preserve"> </w:t>
      </w:r>
      <w:r w:rsidR="007318F2">
        <w:rPr>
          <w:rFonts w:ascii="仿宋_GB2312" w:eastAsia="仿宋_GB2312" w:hAnsiTheme="majorEastAsia"/>
          <w:sz w:val="32"/>
          <w:szCs w:val="32"/>
        </w:rPr>
        <w:t xml:space="preserve"> </w:t>
      </w:r>
      <w:r w:rsidRPr="002677CF">
        <w:rPr>
          <w:rFonts w:ascii="仿宋_GB2312" w:eastAsia="仿宋_GB2312" w:hAnsiTheme="majorEastAsia" w:hint="eastAsia"/>
          <w:sz w:val="32"/>
          <w:szCs w:val="32"/>
        </w:rPr>
        <w:t>微波源采用双磁控管错位排列设计，最大微波输出功率：≥1600W。</w:t>
      </w:r>
      <w:r w:rsidRPr="002677CF">
        <w:rPr>
          <w:rFonts w:ascii="仿宋_GB2312" w:eastAsia="仿宋_GB2312" w:hAnsiTheme="majorEastAsia" w:hint="eastAsia"/>
          <w:color w:val="000000" w:themeColor="text1"/>
          <w:sz w:val="32"/>
          <w:szCs w:val="32"/>
        </w:rPr>
        <w:t>微波工作方式：连续、非脉冲模式微波发射，0-100%功率全程自动连续可调。</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2.2、批处理能力：可同时处理≥16位超高压消解罐转子或≥ 40位高通量消解罐转子。</w:t>
      </w:r>
    </w:p>
    <w:p w:rsidR="00443A6E" w:rsidRPr="002677CF" w:rsidRDefault="007318F2" w:rsidP="007318F2">
      <w:pPr>
        <w:spacing w:line="440" w:lineRule="exact"/>
        <w:jc w:val="left"/>
        <w:rPr>
          <w:rFonts w:ascii="仿宋_GB2312" w:eastAsia="仿宋_GB2312" w:hAnsiTheme="majorEastAsia"/>
          <w:sz w:val="32"/>
          <w:szCs w:val="32"/>
        </w:rPr>
      </w:pPr>
      <w:r>
        <w:rPr>
          <w:rFonts w:ascii="仿宋_GB2312" w:eastAsia="仿宋_GB2312" w:hAnsiTheme="majorEastAsia" w:hint="eastAsia"/>
          <w:color w:val="000000" w:themeColor="text1"/>
          <w:sz w:val="32"/>
          <w:szCs w:val="32"/>
        </w:rPr>
        <w:t xml:space="preserve">2.3 </w:t>
      </w:r>
      <w:r>
        <w:rPr>
          <w:rFonts w:ascii="仿宋_GB2312" w:eastAsia="仿宋_GB2312" w:hAnsiTheme="majorEastAsia"/>
          <w:color w:val="000000" w:themeColor="text1"/>
          <w:sz w:val="32"/>
          <w:szCs w:val="32"/>
        </w:rPr>
        <w:t xml:space="preserve"> </w:t>
      </w:r>
      <w:r w:rsidR="0073498B" w:rsidRPr="002677CF">
        <w:rPr>
          <w:rFonts w:ascii="仿宋_GB2312" w:eastAsia="仿宋_GB2312" w:hAnsiTheme="majorEastAsia" w:hint="eastAsia"/>
          <w:color w:val="000000" w:themeColor="text1"/>
          <w:sz w:val="32"/>
          <w:szCs w:val="32"/>
        </w:rPr>
        <w:t>消解炉腔整体由316L不锈钢无缝焊接而成，并配高强度不锈钢承载安全防爆门，运行过程中始终锁定炉门，非低于安全温度和压力无法开门。</w:t>
      </w:r>
      <w:r w:rsidR="0073498B" w:rsidRPr="002677CF">
        <w:rPr>
          <w:rFonts w:ascii="仿宋_GB2312" w:eastAsia="仿宋_GB2312" w:hAnsiTheme="majorEastAsia" w:hint="eastAsia"/>
          <w:sz w:val="32"/>
          <w:szCs w:val="32"/>
        </w:rPr>
        <w:t>炉腔质保：腔体5年质量保证，非人为损坏、如出现形变或腐蚀生锈，免费更换。</w:t>
      </w:r>
    </w:p>
    <w:p w:rsidR="00443A6E" w:rsidRPr="002677CF" w:rsidRDefault="0073498B" w:rsidP="007318F2">
      <w:pPr>
        <w:pStyle w:val="ae"/>
        <w:numPr>
          <w:ilvl w:val="1"/>
          <w:numId w:val="3"/>
        </w:numPr>
        <w:spacing w:line="440" w:lineRule="exact"/>
        <w:ind w:left="0"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耐腐蚀排风系统，消解过程中及时带走消解罐管壁外多余热量，延长消解罐使用寿命，消解结束后快速冷却。</w:t>
      </w:r>
    </w:p>
    <w:p w:rsidR="00443A6E" w:rsidRPr="002677CF" w:rsidRDefault="0073498B" w:rsidP="007318F2">
      <w:pPr>
        <w:spacing w:line="440" w:lineRule="exact"/>
        <w:jc w:val="left"/>
        <w:rPr>
          <w:rFonts w:ascii="仿宋_GB2312" w:eastAsia="仿宋_GB2312" w:hAnsiTheme="majorEastAsia"/>
          <w:sz w:val="32"/>
          <w:szCs w:val="32"/>
        </w:rPr>
      </w:pPr>
      <w:r w:rsidRPr="002677CF">
        <w:rPr>
          <w:rFonts w:ascii="仿宋_GB2312" w:eastAsia="仿宋_GB2312" w:hAnsiTheme="majorEastAsia" w:hint="eastAsia"/>
          <w:sz w:val="32"/>
          <w:szCs w:val="32"/>
        </w:rPr>
        <w:t>2.5  微波消解腔体，容积≤60L。消解炉门采用前方左右侧开门方式，</w:t>
      </w:r>
      <w:r w:rsidRPr="002677CF">
        <w:rPr>
          <w:rFonts w:ascii="仿宋_GB2312" w:eastAsia="仿宋_GB2312" w:hAnsi="宋体" w:hint="eastAsia"/>
          <w:sz w:val="32"/>
          <w:szCs w:val="32"/>
        </w:rPr>
        <w:t>操作方便，避免因顶部开门带来的操作不便。</w:t>
      </w:r>
      <w:r w:rsidRPr="002677CF">
        <w:rPr>
          <w:rFonts w:ascii="仿宋_GB2312" w:eastAsia="仿宋_GB2312" w:hAnsiTheme="majorEastAsia" w:hint="eastAsia"/>
          <w:sz w:val="32"/>
          <w:szCs w:val="32"/>
        </w:rPr>
        <w:t>并具有正面灯光识别系统，可通过腔体正面的防爆视窗观察灯光信号变化反馈反应阶段和反应状况（待机-正在运行-完成或待机）。</w:t>
      </w:r>
    </w:p>
    <w:p w:rsidR="00443A6E" w:rsidRPr="002677CF" w:rsidRDefault="0073498B" w:rsidP="007318F2">
      <w:pPr>
        <w:spacing w:line="440" w:lineRule="exact"/>
        <w:jc w:val="left"/>
        <w:rPr>
          <w:rFonts w:ascii="仿宋_GB2312" w:eastAsia="仿宋_GB2312" w:hAnsiTheme="majorEastAsia"/>
          <w:bCs/>
          <w:color w:val="000000" w:themeColor="text1"/>
          <w:sz w:val="32"/>
          <w:szCs w:val="32"/>
        </w:rPr>
      </w:pPr>
      <w:r w:rsidRPr="002677CF">
        <w:rPr>
          <w:rFonts w:ascii="仿宋_GB2312" w:eastAsia="仿宋_GB2312" w:hAnsi="宋体" w:hint="eastAsia"/>
          <w:bCs/>
          <w:sz w:val="32"/>
          <w:szCs w:val="32"/>
        </w:rPr>
        <w:t>2.6</w:t>
      </w:r>
      <w:r w:rsidR="007318F2">
        <w:rPr>
          <w:rFonts w:ascii="仿宋_GB2312" w:eastAsia="仿宋_GB2312" w:hAnsi="宋体" w:hint="eastAsia"/>
          <w:bCs/>
          <w:sz w:val="32"/>
          <w:szCs w:val="32"/>
        </w:rPr>
        <w:t xml:space="preserve">  </w:t>
      </w:r>
      <w:r w:rsidRPr="002677CF">
        <w:rPr>
          <w:rFonts w:ascii="仿宋_GB2312" w:eastAsia="仿宋_GB2312" w:hAnsi="宋体" w:hint="eastAsia"/>
          <w:bCs/>
          <w:sz w:val="32"/>
          <w:szCs w:val="32"/>
        </w:rPr>
        <w:t>整机外壳采用绝缘防腐材质，内侧具备导电涂层；微波腔内和消解罐组件中不得配有任何有线连接形式的传感器或合金护套，避免打火、腐蚀、金属元素污染的风险。</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2.7</w:t>
      </w:r>
      <w:r w:rsidR="007318F2">
        <w:rPr>
          <w:rFonts w:ascii="仿宋_GB2312" w:eastAsia="仿宋_GB2312" w:hAnsiTheme="majorEastAsia" w:hint="eastAsia"/>
          <w:color w:val="000000" w:themeColor="text1"/>
          <w:sz w:val="32"/>
          <w:szCs w:val="32"/>
        </w:rPr>
        <w:t xml:space="preserve"> </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温度及压力测控系统：</w:t>
      </w:r>
    </w:p>
    <w:p w:rsidR="00443A6E" w:rsidRPr="002677CF" w:rsidRDefault="0073498B" w:rsidP="007318F2">
      <w:pPr>
        <w:spacing w:line="440" w:lineRule="exact"/>
        <w:jc w:val="left"/>
        <w:rPr>
          <w:rFonts w:ascii="仿宋_GB2312" w:eastAsia="仿宋_GB2312" w:hAnsiTheme="majorEastAsia"/>
          <w:sz w:val="32"/>
          <w:szCs w:val="32"/>
        </w:rPr>
      </w:pPr>
      <w:r w:rsidRPr="002677CF">
        <w:rPr>
          <w:rFonts w:ascii="仿宋_GB2312" w:eastAsia="仿宋_GB2312" w:hAnsiTheme="majorEastAsia" w:hint="eastAsia"/>
          <w:sz w:val="32"/>
          <w:szCs w:val="32"/>
        </w:rPr>
        <w:t>2.7.1</w:t>
      </w:r>
      <w:r w:rsidR="007318F2">
        <w:rPr>
          <w:rFonts w:ascii="仿宋_GB2312" w:eastAsia="仿宋_GB2312" w:hAnsiTheme="majorEastAsia"/>
          <w:sz w:val="32"/>
          <w:szCs w:val="32"/>
        </w:rPr>
        <w:t xml:space="preserve"> </w:t>
      </w:r>
      <w:r w:rsidRPr="002677CF">
        <w:rPr>
          <w:rFonts w:ascii="仿宋_GB2312" w:eastAsia="仿宋_GB2312" w:hAnsiTheme="majorEastAsia" w:hint="eastAsia"/>
          <w:sz w:val="32"/>
          <w:szCs w:val="32"/>
        </w:rPr>
        <w:t>测温方式：非插入式温度传感器，采用高精度红外温度传感器实时监测消解罐罐内样品温度，红外传感器都安装</w:t>
      </w:r>
      <w:r w:rsidRPr="002677CF">
        <w:rPr>
          <w:rFonts w:ascii="仿宋_GB2312" w:eastAsia="仿宋_GB2312" w:hAnsiTheme="majorEastAsia" w:hint="eastAsia"/>
          <w:sz w:val="32"/>
          <w:szCs w:val="32"/>
        </w:rPr>
        <w:lastRenderedPageBreak/>
        <w:t>在仪器底部而不是侧面，红外传感器不受液面高度影响。消解炉腔内不包含有线连接方式的传感器，检测范围20-330℃，精度1℃。</w:t>
      </w:r>
    </w:p>
    <w:p w:rsidR="00443A6E" w:rsidRPr="002677CF" w:rsidRDefault="0073498B" w:rsidP="007318F2">
      <w:pPr>
        <w:spacing w:line="440" w:lineRule="exact"/>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2.7.2</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 xml:space="preserve"> 智能全罐控压技术：定量控压技术实时监控每个反应罐反应过程中的压力变化，当罐内压力超过预置极限压力时，能自动释放多余气体后自密闭，继尔确保反应安全以消解进程继续运行，可长期反复使用无须更换耗材。</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2.8</w:t>
      </w:r>
      <w:r w:rsidR="007318F2">
        <w:rPr>
          <w:rFonts w:ascii="仿宋_GB2312" w:eastAsia="仿宋_GB2312" w:hAnsiTheme="majorEastAsia" w:hint="eastAsia"/>
          <w:color w:val="000000" w:themeColor="text1"/>
          <w:sz w:val="32"/>
          <w:szCs w:val="32"/>
        </w:rPr>
        <w:t xml:space="preserve"> </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软件控制系统：</w:t>
      </w:r>
    </w:p>
    <w:p w:rsidR="00443A6E" w:rsidRPr="002677CF" w:rsidRDefault="0073498B" w:rsidP="007318F2">
      <w:pPr>
        <w:spacing w:line="440" w:lineRule="exact"/>
        <w:jc w:val="left"/>
        <w:rPr>
          <w:rFonts w:ascii="仿宋_GB2312" w:eastAsia="仿宋_GB2312" w:hAnsiTheme="majorEastAsia"/>
          <w:bCs/>
          <w:color w:val="000000" w:themeColor="text1"/>
          <w:sz w:val="32"/>
          <w:szCs w:val="32"/>
        </w:rPr>
      </w:pPr>
      <w:r w:rsidRPr="002677CF">
        <w:rPr>
          <w:rFonts w:ascii="仿宋_GB2312" w:eastAsia="仿宋_GB2312" w:hAnsiTheme="majorEastAsia" w:hint="eastAsia"/>
          <w:bCs/>
          <w:color w:val="000000"/>
          <w:sz w:val="32"/>
          <w:szCs w:val="32"/>
        </w:rPr>
        <w:t xml:space="preserve">2.8.1 </w:t>
      </w:r>
      <w:r w:rsidR="007318F2">
        <w:rPr>
          <w:rFonts w:ascii="仿宋_GB2312" w:eastAsia="仿宋_GB2312" w:hAnsiTheme="majorEastAsia"/>
          <w:bCs/>
          <w:color w:val="000000"/>
          <w:sz w:val="32"/>
          <w:szCs w:val="32"/>
        </w:rPr>
        <w:t xml:space="preserve"> </w:t>
      </w:r>
      <w:r w:rsidRPr="002677CF">
        <w:rPr>
          <w:rFonts w:ascii="仿宋_GB2312" w:eastAsia="仿宋_GB2312" w:hAnsiTheme="majorEastAsia" w:hint="eastAsia"/>
          <w:bCs/>
          <w:color w:val="000000"/>
          <w:sz w:val="32"/>
          <w:szCs w:val="32"/>
        </w:rPr>
        <w:t>主机和控制终端为专业一体化，无需另外连接分离式控制终端，结合触摸屏技术可直接主机仪器屏幕编辑消解方法及显示实验过程数据，</w:t>
      </w:r>
      <w:r w:rsidRPr="002677CF">
        <w:rPr>
          <w:rFonts w:ascii="仿宋_GB2312" w:eastAsia="仿宋_GB2312" w:hAnsiTheme="majorEastAsia" w:hint="eastAsia"/>
          <w:bCs/>
          <w:color w:val="000000" w:themeColor="text1"/>
          <w:sz w:val="32"/>
          <w:szCs w:val="32"/>
        </w:rPr>
        <w:t>历史实验数据可保存并在主机回看。</w:t>
      </w:r>
    </w:p>
    <w:p w:rsidR="00443A6E" w:rsidRPr="002677CF" w:rsidRDefault="0073498B" w:rsidP="007318F2">
      <w:pPr>
        <w:spacing w:line="440" w:lineRule="exact"/>
        <w:jc w:val="left"/>
        <w:rPr>
          <w:rFonts w:ascii="仿宋_GB2312" w:eastAsia="仿宋_GB2312" w:hAnsiTheme="majorEastAsia"/>
          <w:color w:val="000000"/>
          <w:sz w:val="32"/>
          <w:szCs w:val="32"/>
        </w:rPr>
      </w:pPr>
      <w:r w:rsidRPr="002677CF">
        <w:rPr>
          <w:rFonts w:ascii="仿宋_GB2312" w:eastAsia="仿宋_GB2312" w:hAnsiTheme="majorEastAsia" w:hint="eastAsia"/>
          <w:color w:val="000000"/>
          <w:sz w:val="32"/>
          <w:szCs w:val="32"/>
        </w:rPr>
        <w:t>2.8.2  仪器正面防爆门有透明可视窗口可以观察腔内实验变化，仪器内置防腐涂层电容式触摸控制屏，采用开放式操作平台，结合触摸屏技术实现一键式消解,中文操作界面,内置50种以上应用方法库，即调即用。</w:t>
      </w:r>
    </w:p>
    <w:p w:rsidR="00443A6E" w:rsidRPr="002677CF" w:rsidRDefault="0073498B" w:rsidP="007318F2">
      <w:pPr>
        <w:spacing w:line="440" w:lineRule="exact"/>
        <w:jc w:val="left"/>
        <w:rPr>
          <w:rFonts w:ascii="仿宋_GB2312" w:eastAsia="仿宋_GB2312" w:hAnsiTheme="majorEastAsia"/>
          <w:color w:val="000000"/>
          <w:sz w:val="32"/>
          <w:szCs w:val="32"/>
        </w:rPr>
      </w:pPr>
      <w:r w:rsidRPr="002677CF">
        <w:rPr>
          <w:rFonts w:ascii="仿宋_GB2312" w:eastAsia="仿宋_GB2312" w:hAnsiTheme="majorEastAsia" w:hint="eastAsia"/>
          <w:color w:val="000000"/>
          <w:sz w:val="32"/>
          <w:szCs w:val="32"/>
        </w:rPr>
        <w:t xml:space="preserve">2.8.3 </w:t>
      </w:r>
      <w:r w:rsidR="007318F2">
        <w:rPr>
          <w:rFonts w:ascii="仿宋_GB2312" w:eastAsia="仿宋_GB2312" w:hAnsiTheme="majorEastAsia"/>
          <w:color w:val="000000"/>
          <w:sz w:val="32"/>
          <w:szCs w:val="32"/>
        </w:rPr>
        <w:t xml:space="preserve"> </w:t>
      </w:r>
      <w:r w:rsidRPr="002677CF">
        <w:rPr>
          <w:rFonts w:ascii="仿宋_GB2312" w:eastAsia="仿宋_GB2312" w:hAnsiTheme="majorEastAsia" w:hint="eastAsia"/>
          <w:color w:val="000000"/>
          <w:sz w:val="32"/>
          <w:szCs w:val="32"/>
        </w:rPr>
        <w:t>内置功率模式、温度模式可选。（提供程序运行时的软件界面佐证）。</w:t>
      </w:r>
    </w:p>
    <w:p w:rsidR="00443A6E" w:rsidRPr="002677CF" w:rsidRDefault="0073498B" w:rsidP="007318F2">
      <w:pPr>
        <w:spacing w:line="440" w:lineRule="exact"/>
        <w:jc w:val="left"/>
        <w:rPr>
          <w:rFonts w:ascii="仿宋_GB2312" w:eastAsia="仿宋_GB2312" w:hAnsiTheme="majorEastAsia"/>
          <w:color w:val="000000"/>
          <w:sz w:val="32"/>
          <w:szCs w:val="32"/>
        </w:rPr>
      </w:pPr>
      <w:r w:rsidRPr="002677CF">
        <w:rPr>
          <w:rFonts w:ascii="仿宋_GB2312" w:eastAsia="仿宋_GB2312" w:hAnsiTheme="majorEastAsia" w:hint="eastAsia"/>
          <w:color w:val="000000"/>
          <w:sz w:val="32"/>
          <w:szCs w:val="32"/>
        </w:rPr>
        <w:t>2.8.4</w:t>
      </w:r>
      <w:r w:rsidR="007318F2">
        <w:rPr>
          <w:rFonts w:ascii="仿宋_GB2312" w:eastAsia="仿宋_GB2312" w:hAnsiTheme="majorEastAsia"/>
          <w:color w:val="000000"/>
          <w:sz w:val="32"/>
          <w:szCs w:val="32"/>
        </w:rPr>
        <w:t xml:space="preserve">  </w:t>
      </w:r>
      <w:r w:rsidRPr="002677CF">
        <w:rPr>
          <w:rFonts w:ascii="仿宋_GB2312" w:eastAsia="仿宋_GB2312" w:hAnsiTheme="majorEastAsia" w:hint="eastAsia"/>
          <w:color w:val="000000"/>
          <w:sz w:val="32"/>
          <w:szCs w:val="32"/>
        </w:rPr>
        <w:t>主机工作界面具有显示温度曲线图，功率曲线图，实时全罐温度柱状图功能（提供程序运行时的软件界面佐证）。</w:t>
      </w:r>
    </w:p>
    <w:p w:rsidR="00443A6E" w:rsidRPr="002677CF" w:rsidRDefault="0073498B" w:rsidP="007318F2">
      <w:pPr>
        <w:spacing w:line="440" w:lineRule="exact"/>
        <w:jc w:val="left"/>
        <w:rPr>
          <w:rFonts w:ascii="仿宋_GB2312" w:eastAsia="仿宋_GB2312" w:hAnsiTheme="majorEastAsia"/>
          <w:color w:val="000000"/>
          <w:sz w:val="32"/>
          <w:szCs w:val="32"/>
        </w:rPr>
      </w:pPr>
      <w:r w:rsidRPr="002677CF">
        <w:rPr>
          <w:rFonts w:ascii="仿宋_GB2312" w:eastAsia="仿宋_GB2312" w:hAnsiTheme="majorEastAsia" w:hint="eastAsia"/>
          <w:color w:val="000000"/>
          <w:sz w:val="32"/>
          <w:szCs w:val="32"/>
        </w:rPr>
        <w:t xml:space="preserve">2.8.5 </w:t>
      </w:r>
      <w:r w:rsidR="007318F2">
        <w:rPr>
          <w:rFonts w:ascii="仿宋_GB2312" w:eastAsia="仿宋_GB2312" w:hAnsiTheme="majorEastAsia"/>
          <w:color w:val="000000"/>
          <w:sz w:val="32"/>
          <w:szCs w:val="32"/>
        </w:rPr>
        <w:t xml:space="preserve"> </w:t>
      </w:r>
      <w:r w:rsidRPr="002677CF">
        <w:rPr>
          <w:rFonts w:ascii="仿宋_GB2312" w:eastAsia="仿宋_GB2312" w:hAnsiTheme="majorEastAsia" w:hint="eastAsia"/>
          <w:color w:val="000000"/>
          <w:sz w:val="32"/>
          <w:szCs w:val="32"/>
        </w:rPr>
        <w:t>转子自动识别定位技术：双光电技术配合光精度转子驱动系统自动识别转子类型。</w:t>
      </w:r>
    </w:p>
    <w:p w:rsidR="00443A6E" w:rsidRPr="002677CF" w:rsidRDefault="0073498B" w:rsidP="007318F2">
      <w:pPr>
        <w:spacing w:line="440" w:lineRule="exact"/>
        <w:jc w:val="left"/>
        <w:rPr>
          <w:rFonts w:ascii="仿宋_GB2312" w:eastAsia="仿宋_GB2312"/>
          <w:sz w:val="32"/>
          <w:szCs w:val="32"/>
        </w:rPr>
      </w:pPr>
      <w:r w:rsidRPr="002677CF">
        <w:rPr>
          <w:rFonts w:ascii="仿宋_GB2312" w:eastAsia="仿宋_GB2312" w:hAnsiTheme="majorEastAsia" w:hint="eastAsia"/>
          <w:color w:val="000000"/>
          <w:sz w:val="32"/>
          <w:szCs w:val="32"/>
        </w:rPr>
        <w:t xml:space="preserve">2.8.6 </w:t>
      </w:r>
      <w:r w:rsidR="007318F2">
        <w:rPr>
          <w:rFonts w:ascii="仿宋_GB2312" w:eastAsia="仿宋_GB2312" w:hAnsiTheme="majorEastAsia"/>
          <w:color w:val="000000"/>
          <w:sz w:val="32"/>
          <w:szCs w:val="32"/>
        </w:rPr>
        <w:t xml:space="preserve"> </w:t>
      </w:r>
      <w:r w:rsidRPr="002677CF">
        <w:rPr>
          <w:rFonts w:ascii="仿宋_GB2312" w:eastAsia="仿宋_GB2312" w:hint="eastAsia"/>
          <w:sz w:val="32"/>
          <w:szCs w:val="32"/>
        </w:rPr>
        <w:t>运行前智能检测转子匹配、微波源、风机、马达、红外温度传感器等核心部件的状态，确保反应安全（提供投标产品仪器自检软件显示界面图佐证）</w:t>
      </w:r>
    </w:p>
    <w:p w:rsidR="00443A6E" w:rsidRPr="002677CF" w:rsidRDefault="0073498B" w:rsidP="007318F2">
      <w:pPr>
        <w:spacing w:line="360" w:lineRule="auto"/>
        <w:jc w:val="left"/>
        <w:rPr>
          <w:rFonts w:ascii="仿宋_GB2312" w:eastAsia="仿宋_GB2312" w:hAnsiTheme="majorEastAsia"/>
          <w:bCs/>
          <w:color w:val="000000" w:themeColor="text1"/>
          <w:sz w:val="32"/>
          <w:szCs w:val="32"/>
        </w:rPr>
      </w:pPr>
      <w:r w:rsidRPr="002677CF">
        <w:rPr>
          <w:rFonts w:ascii="仿宋_GB2312" w:eastAsia="仿宋_GB2312" w:hAnsiTheme="majorEastAsia" w:hint="eastAsia"/>
          <w:bCs/>
          <w:color w:val="000000" w:themeColor="text1"/>
          <w:sz w:val="32"/>
          <w:szCs w:val="32"/>
        </w:rPr>
        <w:t>2.8.7</w:t>
      </w:r>
      <w:r w:rsidR="007318F2">
        <w:rPr>
          <w:rFonts w:ascii="仿宋_GB2312" w:eastAsia="仿宋_GB2312" w:hAnsiTheme="majorEastAsia"/>
          <w:bCs/>
          <w:color w:val="000000" w:themeColor="text1"/>
          <w:sz w:val="32"/>
          <w:szCs w:val="32"/>
        </w:rPr>
        <w:t xml:space="preserve">  </w:t>
      </w:r>
      <w:r w:rsidRPr="002677CF">
        <w:rPr>
          <w:rFonts w:ascii="仿宋_GB2312" w:eastAsia="仿宋_GB2312" w:hAnsi="宋体" w:hint="eastAsia"/>
          <w:bCs/>
          <w:sz w:val="32"/>
          <w:szCs w:val="32"/>
        </w:rPr>
        <w:t>仪器内置人性化温度，微波功率校准，用户可自行对仪器做定期维护校准，确保仪器安全状况（须提供投标产品校准程序证明照片）</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2.9</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消解罐：</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lastRenderedPageBreak/>
        <w:t>2.9.1</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批处理量≥40位，罐体容积≥ 60mL</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2.9.2</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内罐材质：由TFM（Dyneon TFM）制作，</w:t>
      </w:r>
      <w:r w:rsidRPr="002677CF">
        <w:rPr>
          <w:rFonts w:ascii="仿宋_GB2312" w:eastAsia="仿宋_GB2312" w:hAnsi="宋体" w:cs="宋体" w:hint="eastAsia"/>
          <w:sz w:val="32"/>
          <w:szCs w:val="32"/>
        </w:rPr>
        <w:t>采用光滑外壁结构，保证受压受力均匀，保证高温高压下的实验安全,消解罐必须带原厂防伪logo及定制编号,无需手写编号（提供内罐实物编号照片佐证）。</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sz w:val="32"/>
          <w:szCs w:val="32"/>
        </w:rPr>
        <w:t>2.9.3</w:t>
      </w:r>
      <w:r w:rsidR="007318F2">
        <w:rPr>
          <w:rFonts w:ascii="仿宋_GB2312" w:eastAsia="仿宋_GB2312" w:hAnsiTheme="majorEastAsia" w:hint="eastAsia"/>
          <w:sz w:val="32"/>
          <w:szCs w:val="32"/>
        </w:rPr>
        <w:t xml:space="preserve"> </w:t>
      </w:r>
      <w:r w:rsidR="007318F2">
        <w:rPr>
          <w:rFonts w:ascii="仿宋_GB2312" w:eastAsia="仿宋_GB2312" w:hAnsiTheme="majorEastAsia"/>
          <w:sz w:val="32"/>
          <w:szCs w:val="32"/>
        </w:rPr>
        <w:t xml:space="preserve"> </w:t>
      </w:r>
      <w:r w:rsidRPr="002677CF">
        <w:rPr>
          <w:rFonts w:ascii="仿宋_GB2312" w:eastAsia="仿宋_GB2312" w:hAnsiTheme="majorEastAsia" w:hint="eastAsia"/>
          <w:color w:val="000000" w:themeColor="text1"/>
          <w:sz w:val="32"/>
          <w:szCs w:val="32"/>
        </w:rPr>
        <w:t>护套材质：</w:t>
      </w:r>
      <w:r w:rsidRPr="002677CF">
        <w:rPr>
          <w:rFonts w:ascii="仿宋_GB2312" w:eastAsia="仿宋_GB2312" w:hAnsiTheme="majorEastAsia" w:hint="eastAsia"/>
          <w:sz w:val="32"/>
          <w:szCs w:val="32"/>
        </w:rPr>
        <w:t>疏水性高强度材料PEEK（聚醚醚酮）耐压材料制作，非宇航纤维类材料或合金等反射微波材料。(提供材料供应商供应证明材料佐证)</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2.9.4</w:t>
      </w:r>
      <w:r w:rsidR="007318F2">
        <w:rPr>
          <w:rFonts w:ascii="仿宋_GB2312" w:eastAsia="仿宋_GB2312" w:hAnsiTheme="majorEastAsia" w:hint="eastAsia"/>
          <w:color w:val="000000" w:themeColor="text1"/>
          <w:sz w:val="32"/>
          <w:szCs w:val="32"/>
        </w:rPr>
        <w:t xml:space="preserve"> </w:t>
      </w:r>
      <w:r w:rsidR="007318F2">
        <w:rPr>
          <w:rFonts w:ascii="仿宋_GB2312" w:eastAsia="仿宋_GB2312" w:hAnsiTheme="majorEastAsia"/>
          <w:color w:val="000000" w:themeColor="text1"/>
          <w:sz w:val="32"/>
          <w:szCs w:val="32"/>
        </w:rPr>
        <w:t xml:space="preserve"> </w:t>
      </w:r>
      <w:r w:rsidRPr="002677CF">
        <w:rPr>
          <w:rFonts w:ascii="仿宋_GB2312" w:eastAsia="仿宋_GB2312" w:hAnsiTheme="majorEastAsia" w:hint="eastAsia"/>
          <w:color w:val="000000" w:themeColor="text1"/>
          <w:sz w:val="32"/>
          <w:szCs w:val="32"/>
        </w:rPr>
        <w:t>最高耐受压力：≥</w:t>
      </w:r>
      <w:r w:rsidRPr="002677CF">
        <w:rPr>
          <w:rFonts w:ascii="仿宋_GB2312" w:eastAsia="仿宋_GB2312" w:hAnsi="宋体" w:hint="eastAsia"/>
          <w:sz w:val="32"/>
          <w:szCs w:val="32"/>
        </w:rPr>
        <w:t>10Mpa，</w:t>
      </w:r>
      <w:r w:rsidRPr="002677CF">
        <w:rPr>
          <w:rFonts w:ascii="仿宋_GB2312" w:eastAsia="仿宋_GB2312" w:hAnsiTheme="majorEastAsia" w:hint="eastAsia"/>
          <w:color w:val="000000" w:themeColor="text1"/>
          <w:sz w:val="32"/>
          <w:szCs w:val="32"/>
        </w:rPr>
        <w:t>最高耐受温度：≥ 300℃</w:t>
      </w:r>
    </w:p>
    <w:p w:rsidR="00443A6E" w:rsidRPr="002677CF" w:rsidRDefault="0073498B" w:rsidP="007318F2">
      <w:pPr>
        <w:spacing w:line="440" w:lineRule="exact"/>
        <w:jc w:val="left"/>
        <w:rPr>
          <w:rFonts w:ascii="仿宋_GB2312" w:eastAsia="仿宋_GB2312" w:hAnsi="宋体"/>
          <w:bCs/>
          <w:sz w:val="32"/>
          <w:szCs w:val="32"/>
        </w:rPr>
      </w:pPr>
      <w:r w:rsidRPr="002677CF">
        <w:rPr>
          <w:rFonts w:ascii="仿宋_GB2312" w:eastAsia="仿宋_GB2312" w:hAnsi="宋体" w:hint="eastAsia"/>
          <w:bCs/>
          <w:sz w:val="32"/>
          <w:szCs w:val="32"/>
        </w:rPr>
        <w:t>2.9.5</w:t>
      </w:r>
      <w:r w:rsidR="007318F2">
        <w:rPr>
          <w:rFonts w:ascii="仿宋_GB2312" w:eastAsia="仿宋_GB2312" w:hAnsi="宋体" w:hint="eastAsia"/>
          <w:bCs/>
          <w:sz w:val="32"/>
          <w:szCs w:val="32"/>
        </w:rPr>
        <w:t xml:space="preserve"> </w:t>
      </w:r>
      <w:r w:rsidR="007318F2">
        <w:rPr>
          <w:rFonts w:ascii="仿宋_GB2312" w:eastAsia="仿宋_GB2312" w:hAnsi="宋体"/>
          <w:bCs/>
          <w:sz w:val="32"/>
          <w:szCs w:val="32"/>
        </w:rPr>
        <w:t xml:space="preserve"> </w:t>
      </w:r>
      <w:r w:rsidRPr="002677CF">
        <w:rPr>
          <w:rFonts w:ascii="仿宋_GB2312" w:eastAsia="仿宋_GB2312" w:hAnsi="宋体" w:hint="eastAsia"/>
          <w:bCs/>
          <w:sz w:val="32"/>
          <w:szCs w:val="32"/>
        </w:rPr>
        <w:t>装罐方式：每个消解罐都可分体独立放置到仪器主机内进行消解操作，可按需放置，转盘非联体上下层或工型结构设计，操作更方便。</w:t>
      </w:r>
    </w:p>
    <w:p w:rsidR="00443A6E" w:rsidRPr="002677CF" w:rsidRDefault="0073498B" w:rsidP="007318F2">
      <w:pPr>
        <w:spacing w:line="440" w:lineRule="exact"/>
        <w:jc w:val="left"/>
        <w:rPr>
          <w:rFonts w:ascii="仿宋_GB2312" w:eastAsia="仿宋_GB2312" w:hAnsi="宋体"/>
          <w:sz w:val="32"/>
          <w:szCs w:val="32"/>
        </w:rPr>
      </w:pPr>
      <w:r w:rsidRPr="002677CF">
        <w:rPr>
          <w:rFonts w:ascii="仿宋_GB2312" w:eastAsia="仿宋_GB2312" w:hAnsi="宋体" w:hint="eastAsia"/>
          <w:sz w:val="32"/>
          <w:szCs w:val="32"/>
        </w:rPr>
        <w:t>2.9.6</w:t>
      </w:r>
      <w:r w:rsidR="007318F2">
        <w:rPr>
          <w:rFonts w:ascii="仿宋_GB2312" w:eastAsia="仿宋_GB2312" w:hAnsi="宋体" w:hint="eastAsia"/>
          <w:sz w:val="32"/>
          <w:szCs w:val="32"/>
        </w:rPr>
        <w:t xml:space="preserve"> </w:t>
      </w:r>
      <w:r w:rsidR="007318F2">
        <w:rPr>
          <w:rFonts w:ascii="仿宋_GB2312" w:eastAsia="仿宋_GB2312" w:hAnsi="宋体"/>
          <w:sz w:val="32"/>
          <w:szCs w:val="32"/>
        </w:rPr>
        <w:t xml:space="preserve"> </w:t>
      </w:r>
      <w:r w:rsidRPr="002677CF">
        <w:rPr>
          <w:rFonts w:ascii="仿宋_GB2312" w:eastAsia="仿宋_GB2312" w:hAnsi="宋体" w:hint="eastAsia"/>
          <w:sz w:val="32"/>
          <w:szCs w:val="32"/>
        </w:rPr>
        <w:t>操作简便性：消解护套底部具有六角力矩结构方便消解装、开罐操作。每个消解内罐均带有激光刻蚀的防伪标记及内罐顺序编号，方便实验过程的记录。（须提供消解罐结构图示证明照片）</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3、</w:t>
      </w:r>
      <w:bookmarkStart w:id="0" w:name="_GoBack"/>
      <w:bookmarkEnd w:id="0"/>
      <w:r w:rsidRPr="002677CF">
        <w:rPr>
          <w:rFonts w:ascii="仿宋_GB2312" w:eastAsia="仿宋_GB2312" w:hAnsiTheme="majorEastAsia" w:hint="eastAsia"/>
          <w:color w:val="000000" w:themeColor="text1"/>
          <w:sz w:val="32"/>
          <w:szCs w:val="32"/>
        </w:rPr>
        <w:t>配置要求</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sz w:val="32"/>
          <w:szCs w:val="32"/>
        </w:rPr>
        <w:t>主机（含一体式控制系统和操作软件）               1台</w:t>
      </w:r>
    </w:p>
    <w:p w:rsidR="00443A6E" w:rsidRPr="002677CF" w:rsidRDefault="0073498B" w:rsidP="007318F2">
      <w:pPr>
        <w:pStyle w:val="ae"/>
        <w:spacing w:line="440" w:lineRule="exact"/>
        <w:ind w:firstLineChars="0" w:firstLine="0"/>
        <w:jc w:val="left"/>
        <w:rPr>
          <w:rFonts w:ascii="仿宋_GB2312" w:eastAsia="仿宋_GB2312" w:hAnsiTheme="majorEastAsia"/>
          <w:sz w:val="32"/>
          <w:szCs w:val="32"/>
        </w:rPr>
      </w:pPr>
      <w:r w:rsidRPr="002677CF">
        <w:rPr>
          <w:rFonts w:ascii="仿宋_GB2312" w:eastAsia="仿宋_GB2312" w:hAnsiTheme="majorEastAsia" w:hint="eastAsia"/>
          <w:sz w:val="32"/>
          <w:szCs w:val="32"/>
        </w:rPr>
        <w:t>智能状态反应灯                                    1组</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sz w:val="32"/>
          <w:szCs w:val="32"/>
        </w:rPr>
        <w:t>非接触式内温测量红外传感器                        1组</w:t>
      </w:r>
    </w:p>
    <w:p w:rsidR="00443A6E" w:rsidRPr="002677CF" w:rsidRDefault="0073498B" w:rsidP="007318F2">
      <w:pPr>
        <w:spacing w:line="440" w:lineRule="exact"/>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40位高通量转盘架                                1组</w:t>
      </w:r>
    </w:p>
    <w:p w:rsidR="00443A6E" w:rsidRPr="002677CF" w:rsidRDefault="0073498B" w:rsidP="007318F2">
      <w:pPr>
        <w:spacing w:line="440" w:lineRule="exact"/>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PEEK材料护套                                    40个</w:t>
      </w:r>
    </w:p>
    <w:p w:rsidR="00443A6E" w:rsidRPr="002677CF" w:rsidRDefault="0073498B" w:rsidP="007318F2">
      <w:pPr>
        <w:spacing w:line="440" w:lineRule="exact"/>
        <w:jc w:val="left"/>
        <w:rPr>
          <w:rFonts w:ascii="仿宋_GB2312" w:eastAsia="仿宋_GB2312" w:hAnsiTheme="majorEastAsia"/>
          <w:sz w:val="32"/>
          <w:szCs w:val="32"/>
        </w:rPr>
      </w:pPr>
      <w:r w:rsidRPr="002677CF">
        <w:rPr>
          <w:rFonts w:ascii="仿宋_GB2312" w:eastAsia="仿宋_GB2312" w:hAnsiTheme="majorEastAsia" w:hint="eastAsia"/>
          <w:sz w:val="32"/>
          <w:szCs w:val="32"/>
        </w:rPr>
        <w:t>TFM消解内罐（含盖）                             120个</w:t>
      </w:r>
    </w:p>
    <w:p w:rsidR="00443A6E" w:rsidRPr="002677CF" w:rsidRDefault="0073498B" w:rsidP="007318F2">
      <w:pPr>
        <w:spacing w:line="440" w:lineRule="exact"/>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t>定量控压模块                                     40组</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sz w:val="32"/>
          <w:szCs w:val="32"/>
        </w:rPr>
        <w:t>配套赶酸器                                       2套</w:t>
      </w:r>
    </w:p>
    <w:p w:rsidR="00443A6E" w:rsidRPr="002677CF" w:rsidRDefault="0073498B" w:rsidP="007318F2">
      <w:pPr>
        <w:pStyle w:val="ae"/>
        <w:spacing w:line="440" w:lineRule="exact"/>
        <w:ind w:firstLineChars="0" w:firstLine="0"/>
        <w:jc w:val="left"/>
        <w:rPr>
          <w:rFonts w:ascii="仿宋_GB2312" w:eastAsia="仿宋_GB2312" w:hAnsiTheme="majorEastAsia"/>
          <w:color w:val="000000" w:themeColor="text1"/>
          <w:sz w:val="32"/>
          <w:szCs w:val="32"/>
        </w:rPr>
      </w:pPr>
      <w:r w:rsidRPr="002677CF">
        <w:rPr>
          <w:rFonts w:ascii="仿宋_GB2312" w:eastAsia="仿宋_GB2312" w:hAnsiTheme="majorEastAsia" w:hint="eastAsia"/>
          <w:color w:val="000000" w:themeColor="text1"/>
          <w:sz w:val="32"/>
          <w:szCs w:val="32"/>
        </w:rPr>
        <w:lastRenderedPageBreak/>
        <w:t>样品架                                          2组</w:t>
      </w:r>
    </w:p>
    <w:p w:rsidR="00443A6E" w:rsidRPr="002677CF" w:rsidRDefault="0073498B" w:rsidP="007318F2">
      <w:pPr>
        <w:pStyle w:val="ae"/>
        <w:spacing w:line="440" w:lineRule="exact"/>
        <w:ind w:firstLineChars="0" w:firstLine="0"/>
        <w:jc w:val="left"/>
        <w:rPr>
          <w:rFonts w:ascii="仿宋_GB2312" w:eastAsia="仿宋_GB2312" w:hAnsiTheme="majorEastAsia"/>
          <w:sz w:val="32"/>
          <w:szCs w:val="32"/>
        </w:rPr>
      </w:pPr>
      <w:r w:rsidRPr="002677CF">
        <w:rPr>
          <w:rFonts w:ascii="仿宋_GB2312" w:eastAsia="仿宋_GB2312" w:hAnsiTheme="majorEastAsia" w:hint="eastAsia"/>
          <w:color w:val="000000" w:themeColor="text1"/>
          <w:sz w:val="32"/>
          <w:szCs w:val="32"/>
        </w:rPr>
        <w:t>工具包</w:t>
      </w:r>
      <w:r w:rsidRPr="002677CF">
        <w:rPr>
          <w:rFonts w:ascii="仿宋_GB2312" w:eastAsia="仿宋_GB2312" w:hAnsiTheme="majorEastAsia" w:hint="eastAsia"/>
          <w:sz w:val="32"/>
          <w:szCs w:val="32"/>
        </w:rPr>
        <w:t xml:space="preserve">                                         1套</w:t>
      </w:r>
    </w:p>
    <w:p w:rsidR="00443A6E" w:rsidRPr="007318F2" w:rsidRDefault="007318F2" w:rsidP="007318F2">
      <w:pPr>
        <w:spacing w:line="440" w:lineRule="exact"/>
        <w:jc w:val="left"/>
        <w:rPr>
          <w:rFonts w:ascii="仿宋_GB2312" w:eastAsia="仿宋_GB2312"/>
          <w:color w:val="000000" w:themeColor="text1"/>
          <w:sz w:val="32"/>
          <w:szCs w:val="32"/>
        </w:rPr>
      </w:pPr>
      <w:bookmarkStart w:id="1" w:name="OLE_LINK2"/>
      <w:bookmarkStart w:id="2" w:name="OLE_LINK1"/>
      <w:r>
        <w:rPr>
          <w:rFonts w:ascii="仿宋_GB2312" w:eastAsia="仿宋_GB2312" w:hAnsiTheme="majorEastAsia"/>
          <w:color w:val="000000" w:themeColor="text1"/>
          <w:sz w:val="32"/>
          <w:szCs w:val="32"/>
        </w:rPr>
        <w:t>4</w:t>
      </w:r>
      <w:r>
        <w:rPr>
          <w:rFonts w:ascii="仿宋_GB2312" w:eastAsia="仿宋_GB2312" w:hAnsiTheme="majorEastAsia" w:hint="eastAsia"/>
          <w:color w:val="000000" w:themeColor="text1"/>
          <w:sz w:val="32"/>
          <w:szCs w:val="32"/>
        </w:rPr>
        <w:t>、</w:t>
      </w:r>
      <w:r w:rsidR="0073498B" w:rsidRPr="007318F2">
        <w:rPr>
          <w:rFonts w:ascii="仿宋_GB2312" w:eastAsia="仿宋_GB2312" w:hAnsiTheme="majorEastAsia" w:hint="eastAsia"/>
          <w:color w:val="000000" w:themeColor="text1"/>
          <w:sz w:val="32"/>
          <w:szCs w:val="32"/>
        </w:rPr>
        <w:t>质保、配件供应：整机质保期一年（十二个月）。关键部件微波谐振腔质保期五年，如有非人为因素破坏，给予免费更换。质保期过后可及时为用户提供备品备件。</w:t>
      </w:r>
      <w:bookmarkEnd w:id="1"/>
      <w:bookmarkEnd w:id="2"/>
    </w:p>
    <w:p w:rsidR="00443A6E" w:rsidRDefault="00443A6E" w:rsidP="007318F2">
      <w:pPr>
        <w:pStyle w:val="ae"/>
        <w:ind w:left="425" w:firstLineChars="0" w:firstLine="0"/>
        <w:jc w:val="left"/>
        <w:rPr>
          <w:b/>
          <w:color w:val="000000" w:themeColor="text1"/>
        </w:rPr>
      </w:pPr>
    </w:p>
    <w:sectPr w:rsidR="00443A6E" w:rsidSect="00443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60A" w:rsidRDefault="0099060A" w:rsidP="002677CF">
      <w:r>
        <w:separator/>
      </w:r>
    </w:p>
  </w:endnote>
  <w:endnote w:type="continuationSeparator" w:id="0">
    <w:p w:rsidR="0099060A" w:rsidRDefault="0099060A" w:rsidP="0026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60A" w:rsidRDefault="0099060A" w:rsidP="002677CF">
      <w:r>
        <w:separator/>
      </w:r>
    </w:p>
  </w:footnote>
  <w:footnote w:type="continuationSeparator" w:id="0">
    <w:p w:rsidR="0099060A" w:rsidRDefault="0099060A" w:rsidP="00267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6469921"/>
    <w:multiLevelType w:val="singleLevel"/>
    <w:tmpl w:val="96469921"/>
    <w:lvl w:ilvl="0">
      <w:start w:val="1"/>
      <w:numFmt w:val="decimal"/>
      <w:suff w:val="nothing"/>
      <w:lvlText w:val="%1、"/>
      <w:lvlJc w:val="left"/>
    </w:lvl>
  </w:abstractNum>
  <w:abstractNum w:abstractNumId="1">
    <w:nsid w:val="28377EEA"/>
    <w:multiLevelType w:val="multilevel"/>
    <w:tmpl w:val="28377EEA"/>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rPr>
        <w:b w:val="0"/>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303B71A8"/>
    <w:multiLevelType w:val="hybridMultilevel"/>
    <w:tmpl w:val="2C203108"/>
    <w:lvl w:ilvl="0" w:tplc="6BC25174">
      <w:start w:val="4"/>
      <w:numFmt w:val="decimal"/>
      <w:lvlText w:val="%1》"/>
      <w:lvlJc w:val="left"/>
      <w:pPr>
        <w:ind w:left="1080" w:hanging="720"/>
      </w:pPr>
      <w:rPr>
        <w:rFonts w:hAnsiTheme="maj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33E34F59"/>
    <w:multiLevelType w:val="multilevel"/>
    <w:tmpl w:val="33E34F59"/>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1A63EE6"/>
    <w:multiLevelType w:val="multilevel"/>
    <w:tmpl w:val="71A63EE6"/>
    <w:lvl w:ilvl="0">
      <w:start w:val="4"/>
      <w:numFmt w:val="decimal"/>
      <w:lvlText w:val="%1、"/>
      <w:lvlJc w:val="left"/>
      <w:pPr>
        <w:ind w:left="360" w:hanging="360"/>
      </w:pPr>
      <w:rPr>
        <w:rFonts w:asciiTheme="majorEastAsia" w:eastAsiaTheme="majorEastAsia" w:hAnsiTheme="maj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7C41"/>
    <w:rsid w:val="0002683B"/>
    <w:rsid w:val="00030A95"/>
    <w:rsid w:val="00064562"/>
    <w:rsid w:val="001421A2"/>
    <w:rsid w:val="00142C85"/>
    <w:rsid w:val="00154907"/>
    <w:rsid w:val="001774AB"/>
    <w:rsid w:val="001A54CD"/>
    <w:rsid w:val="001B1F44"/>
    <w:rsid w:val="002145F9"/>
    <w:rsid w:val="00247693"/>
    <w:rsid w:val="002677CF"/>
    <w:rsid w:val="002A0DCD"/>
    <w:rsid w:val="002C097D"/>
    <w:rsid w:val="002E5DA9"/>
    <w:rsid w:val="00303045"/>
    <w:rsid w:val="00327D32"/>
    <w:rsid w:val="00333D12"/>
    <w:rsid w:val="003412C4"/>
    <w:rsid w:val="00341CB7"/>
    <w:rsid w:val="00347B6A"/>
    <w:rsid w:val="003A4C6E"/>
    <w:rsid w:val="00443A6E"/>
    <w:rsid w:val="00467C32"/>
    <w:rsid w:val="004A5352"/>
    <w:rsid w:val="004B1AD5"/>
    <w:rsid w:val="004D0949"/>
    <w:rsid w:val="004D735B"/>
    <w:rsid w:val="005005E1"/>
    <w:rsid w:val="00537488"/>
    <w:rsid w:val="005620C8"/>
    <w:rsid w:val="00583E9D"/>
    <w:rsid w:val="0059055E"/>
    <w:rsid w:val="005C7894"/>
    <w:rsid w:val="00615F60"/>
    <w:rsid w:val="0061664A"/>
    <w:rsid w:val="00625B77"/>
    <w:rsid w:val="00625DC8"/>
    <w:rsid w:val="0063768F"/>
    <w:rsid w:val="0069083F"/>
    <w:rsid w:val="00695C80"/>
    <w:rsid w:val="006E1B4A"/>
    <w:rsid w:val="006F20FA"/>
    <w:rsid w:val="00707305"/>
    <w:rsid w:val="007318F2"/>
    <w:rsid w:val="0073498B"/>
    <w:rsid w:val="00752619"/>
    <w:rsid w:val="00795E4E"/>
    <w:rsid w:val="007B4E76"/>
    <w:rsid w:val="007C65FC"/>
    <w:rsid w:val="007C70F5"/>
    <w:rsid w:val="007F403A"/>
    <w:rsid w:val="00807D05"/>
    <w:rsid w:val="00855659"/>
    <w:rsid w:val="00876037"/>
    <w:rsid w:val="00884D62"/>
    <w:rsid w:val="0088541F"/>
    <w:rsid w:val="008879C9"/>
    <w:rsid w:val="008D3A2D"/>
    <w:rsid w:val="008E4D05"/>
    <w:rsid w:val="009041FE"/>
    <w:rsid w:val="009168F3"/>
    <w:rsid w:val="00917997"/>
    <w:rsid w:val="009301C2"/>
    <w:rsid w:val="00933433"/>
    <w:rsid w:val="00975924"/>
    <w:rsid w:val="0099060A"/>
    <w:rsid w:val="009C0960"/>
    <w:rsid w:val="009C54F0"/>
    <w:rsid w:val="00A76237"/>
    <w:rsid w:val="00A76898"/>
    <w:rsid w:val="00AC1FF1"/>
    <w:rsid w:val="00AC261D"/>
    <w:rsid w:val="00AE4BF7"/>
    <w:rsid w:val="00B14114"/>
    <w:rsid w:val="00B23A82"/>
    <w:rsid w:val="00B30E13"/>
    <w:rsid w:val="00B97C41"/>
    <w:rsid w:val="00CE7A7D"/>
    <w:rsid w:val="00D051E4"/>
    <w:rsid w:val="00D31FCD"/>
    <w:rsid w:val="00D46640"/>
    <w:rsid w:val="00D5433F"/>
    <w:rsid w:val="00DB26C1"/>
    <w:rsid w:val="00DC2D66"/>
    <w:rsid w:val="00E315D7"/>
    <w:rsid w:val="00E3714F"/>
    <w:rsid w:val="00E46746"/>
    <w:rsid w:val="00E83B7F"/>
    <w:rsid w:val="00E9165B"/>
    <w:rsid w:val="00EE7D77"/>
    <w:rsid w:val="00F207C1"/>
    <w:rsid w:val="00F26CE7"/>
    <w:rsid w:val="00F45287"/>
    <w:rsid w:val="00F810A7"/>
    <w:rsid w:val="00F82FD6"/>
    <w:rsid w:val="00F94C15"/>
    <w:rsid w:val="00FF2248"/>
    <w:rsid w:val="00FF2C19"/>
    <w:rsid w:val="086015C7"/>
    <w:rsid w:val="0AF03680"/>
    <w:rsid w:val="0FB540F0"/>
    <w:rsid w:val="25876294"/>
    <w:rsid w:val="2BB773EC"/>
    <w:rsid w:val="3E322BDA"/>
    <w:rsid w:val="5B0B3DCC"/>
    <w:rsid w:val="62A977E7"/>
    <w:rsid w:val="77E3157B"/>
    <w:rsid w:val="7EB71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DED639E-B737-488D-9C5D-758319E4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A6E"/>
    <w:pPr>
      <w:widowControl w:val="0"/>
      <w:jc w:val="both"/>
    </w:pPr>
    <w:rPr>
      <w:kern w:val="2"/>
      <w:sz w:val="21"/>
      <w:szCs w:val="22"/>
    </w:rPr>
  </w:style>
  <w:style w:type="paragraph" w:styleId="1">
    <w:name w:val="heading 1"/>
    <w:basedOn w:val="a"/>
    <w:next w:val="a"/>
    <w:link w:val="1Char"/>
    <w:uiPriority w:val="9"/>
    <w:qFormat/>
    <w:rsid w:val="00443A6E"/>
    <w:pPr>
      <w:keepNext/>
      <w:keepLines/>
      <w:spacing w:before="480"/>
      <w:outlineLvl w:val="0"/>
    </w:pPr>
    <w:rPr>
      <w:rFonts w:ascii="Calibri Light" w:eastAsia="宋体" w:hAnsi="Calibri Light" w:cs="Times New Roman"/>
      <w:b/>
      <w:bCs/>
      <w:color w:val="2E74B5"/>
      <w:sz w:val="28"/>
      <w:szCs w:val="28"/>
    </w:rPr>
  </w:style>
  <w:style w:type="paragraph" w:styleId="2">
    <w:name w:val="heading 2"/>
    <w:basedOn w:val="a"/>
    <w:next w:val="a"/>
    <w:link w:val="2Char"/>
    <w:uiPriority w:val="9"/>
    <w:semiHidden/>
    <w:unhideWhenUsed/>
    <w:qFormat/>
    <w:rsid w:val="00443A6E"/>
    <w:pPr>
      <w:keepNext/>
      <w:keepLines/>
      <w:spacing w:before="200"/>
      <w:outlineLvl w:val="1"/>
    </w:pPr>
    <w:rPr>
      <w:rFonts w:ascii="Calibri Light" w:eastAsia="宋体" w:hAnsi="Calibri Light" w:cs="Times New Roman"/>
      <w:b/>
      <w:bCs/>
      <w:color w:val="5B9BD5"/>
      <w:sz w:val="26"/>
      <w:szCs w:val="26"/>
    </w:rPr>
  </w:style>
  <w:style w:type="paragraph" w:styleId="3">
    <w:name w:val="heading 3"/>
    <w:basedOn w:val="a"/>
    <w:next w:val="a"/>
    <w:link w:val="3Char"/>
    <w:uiPriority w:val="9"/>
    <w:semiHidden/>
    <w:unhideWhenUsed/>
    <w:qFormat/>
    <w:rsid w:val="00443A6E"/>
    <w:pPr>
      <w:keepNext/>
      <w:keepLines/>
      <w:spacing w:before="200"/>
      <w:outlineLvl w:val="2"/>
    </w:pPr>
    <w:rPr>
      <w:rFonts w:ascii="Calibri Light" w:eastAsia="宋体" w:hAnsi="Calibri Light" w:cs="Times New Roman"/>
      <w:b/>
      <w:bCs/>
      <w:color w:val="5B9BD5"/>
    </w:rPr>
  </w:style>
  <w:style w:type="paragraph" w:styleId="4">
    <w:name w:val="heading 4"/>
    <w:basedOn w:val="a"/>
    <w:next w:val="a"/>
    <w:link w:val="4Char"/>
    <w:uiPriority w:val="9"/>
    <w:semiHidden/>
    <w:unhideWhenUsed/>
    <w:qFormat/>
    <w:rsid w:val="00443A6E"/>
    <w:pPr>
      <w:keepNext/>
      <w:keepLines/>
      <w:spacing w:before="200"/>
      <w:outlineLvl w:val="3"/>
    </w:pPr>
    <w:rPr>
      <w:rFonts w:ascii="Calibri Light" w:eastAsia="宋体" w:hAnsi="Calibri Light" w:cs="Times New Roman"/>
      <w:b/>
      <w:bCs/>
      <w:i/>
      <w:iCs/>
      <w:color w:val="5B9BD5"/>
    </w:rPr>
  </w:style>
  <w:style w:type="paragraph" w:styleId="5">
    <w:name w:val="heading 5"/>
    <w:basedOn w:val="a"/>
    <w:next w:val="a"/>
    <w:link w:val="5Char"/>
    <w:uiPriority w:val="9"/>
    <w:semiHidden/>
    <w:unhideWhenUsed/>
    <w:qFormat/>
    <w:rsid w:val="00443A6E"/>
    <w:pPr>
      <w:keepNext/>
      <w:keepLines/>
      <w:spacing w:before="200"/>
      <w:outlineLvl w:val="4"/>
    </w:pPr>
    <w:rPr>
      <w:rFonts w:ascii="Calibri Light" w:eastAsia="宋体" w:hAnsi="Calibri Light" w:cs="Times New Roman"/>
      <w:color w:val="1F4D78"/>
    </w:rPr>
  </w:style>
  <w:style w:type="paragraph" w:styleId="6">
    <w:name w:val="heading 6"/>
    <w:basedOn w:val="a"/>
    <w:next w:val="a"/>
    <w:link w:val="6Char"/>
    <w:uiPriority w:val="9"/>
    <w:semiHidden/>
    <w:unhideWhenUsed/>
    <w:qFormat/>
    <w:rsid w:val="00443A6E"/>
    <w:pPr>
      <w:keepNext/>
      <w:keepLines/>
      <w:spacing w:before="200"/>
      <w:outlineLvl w:val="5"/>
    </w:pPr>
    <w:rPr>
      <w:rFonts w:ascii="Calibri Light" w:eastAsia="宋体" w:hAnsi="Calibri Light" w:cs="Times New Roman"/>
      <w:i/>
      <w:iCs/>
      <w:color w:val="1F4D78"/>
    </w:rPr>
  </w:style>
  <w:style w:type="paragraph" w:styleId="7">
    <w:name w:val="heading 7"/>
    <w:basedOn w:val="a"/>
    <w:next w:val="a"/>
    <w:link w:val="7Char"/>
    <w:uiPriority w:val="9"/>
    <w:semiHidden/>
    <w:unhideWhenUsed/>
    <w:qFormat/>
    <w:rsid w:val="00443A6E"/>
    <w:pPr>
      <w:keepNext/>
      <w:keepLines/>
      <w:spacing w:before="200"/>
      <w:outlineLvl w:val="6"/>
    </w:pPr>
    <w:rPr>
      <w:rFonts w:ascii="Calibri Light" w:eastAsia="宋体" w:hAnsi="Calibri Light" w:cs="Times New Roman"/>
      <w:i/>
      <w:iCs/>
      <w:color w:val="404040"/>
    </w:rPr>
  </w:style>
  <w:style w:type="paragraph" w:styleId="8">
    <w:name w:val="heading 8"/>
    <w:basedOn w:val="a"/>
    <w:next w:val="a"/>
    <w:link w:val="8Char"/>
    <w:uiPriority w:val="9"/>
    <w:semiHidden/>
    <w:unhideWhenUsed/>
    <w:qFormat/>
    <w:rsid w:val="00443A6E"/>
    <w:pPr>
      <w:keepNext/>
      <w:keepLines/>
      <w:spacing w:before="200"/>
      <w:outlineLvl w:val="7"/>
    </w:pPr>
    <w:rPr>
      <w:rFonts w:ascii="Calibri Light" w:eastAsia="宋体" w:hAnsi="Calibri Light" w:cs="Times New Roman"/>
      <w:color w:val="5B9BD5"/>
      <w:sz w:val="20"/>
      <w:szCs w:val="20"/>
    </w:rPr>
  </w:style>
  <w:style w:type="paragraph" w:styleId="9">
    <w:name w:val="heading 9"/>
    <w:basedOn w:val="a"/>
    <w:next w:val="a"/>
    <w:link w:val="9Char"/>
    <w:uiPriority w:val="9"/>
    <w:semiHidden/>
    <w:unhideWhenUsed/>
    <w:qFormat/>
    <w:rsid w:val="00443A6E"/>
    <w:pPr>
      <w:keepNext/>
      <w:keepLines/>
      <w:spacing w:before="200"/>
      <w:outlineLvl w:val="8"/>
    </w:pPr>
    <w:rPr>
      <w:rFonts w:ascii="Calibri Light" w:eastAsia="宋体" w:hAnsi="Calibri Light"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443A6E"/>
    <w:rPr>
      <w:b/>
      <w:bCs/>
      <w:color w:val="5B9BD5"/>
      <w:sz w:val="18"/>
      <w:szCs w:val="18"/>
    </w:rPr>
  </w:style>
  <w:style w:type="paragraph" w:styleId="a4">
    <w:name w:val="footer"/>
    <w:basedOn w:val="a"/>
    <w:link w:val="Char"/>
    <w:uiPriority w:val="99"/>
    <w:unhideWhenUsed/>
    <w:qFormat/>
    <w:rsid w:val="00443A6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43A6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443A6E"/>
    <w:rPr>
      <w:rFonts w:ascii="Calibri Light" w:eastAsia="宋体" w:hAnsi="Calibri Light" w:cs="Times New Roman"/>
      <w:i/>
      <w:iCs/>
      <w:color w:val="5B9BD5"/>
      <w:spacing w:val="15"/>
      <w:sz w:val="24"/>
      <w:szCs w:val="24"/>
    </w:rPr>
  </w:style>
  <w:style w:type="paragraph" w:styleId="a7">
    <w:name w:val="Title"/>
    <w:basedOn w:val="a"/>
    <w:next w:val="a"/>
    <w:link w:val="Char2"/>
    <w:uiPriority w:val="10"/>
    <w:qFormat/>
    <w:rsid w:val="00443A6E"/>
    <w:pPr>
      <w:pBdr>
        <w:bottom w:val="single" w:sz="8" w:space="4" w:color="5B9BD5"/>
      </w:pBdr>
      <w:spacing w:after="300"/>
      <w:contextualSpacing/>
    </w:pPr>
    <w:rPr>
      <w:rFonts w:ascii="Calibri Light" w:eastAsia="宋体" w:hAnsi="Calibri Light" w:cs="Times New Roman"/>
      <w:color w:val="323E4F"/>
      <w:spacing w:val="5"/>
      <w:sz w:val="52"/>
      <w:szCs w:val="52"/>
    </w:rPr>
  </w:style>
  <w:style w:type="table" w:styleId="a8">
    <w:name w:val="Table Grid"/>
    <w:basedOn w:val="a1"/>
    <w:uiPriority w:val="39"/>
    <w:rsid w:val="00443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443A6E"/>
    <w:rPr>
      <w:b/>
      <w:bCs/>
    </w:rPr>
  </w:style>
  <w:style w:type="character" w:styleId="aa">
    <w:name w:val="Emphasis"/>
    <w:uiPriority w:val="20"/>
    <w:qFormat/>
    <w:rsid w:val="00443A6E"/>
    <w:rPr>
      <w:i/>
      <w:iCs/>
    </w:rPr>
  </w:style>
  <w:style w:type="character" w:customStyle="1" w:styleId="1Char">
    <w:name w:val="标题 1 Char"/>
    <w:link w:val="1"/>
    <w:uiPriority w:val="9"/>
    <w:rsid w:val="00443A6E"/>
    <w:rPr>
      <w:rFonts w:ascii="Calibri Light" w:eastAsia="宋体" w:hAnsi="Calibri Light" w:cs="Times New Roman"/>
      <w:b/>
      <w:bCs/>
      <w:color w:val="2E74B5"/>
      <w:sz w:val="28"/>
      <w:szCs w:val="28"/>
    </w:rPr>
  </w:style>
  <w:style w:type="character" w:customStyle="1" w:styleId="2Char">
    <w:name w:val="标题 2 Char"/>
    <w:link w:val="2"/>
    <w:uiPriority w:val="9"/>
    <w:semiHidden/>
    <w:rsid w:val="00443A6E"/>
    <w:rPr>
      <w:rFonts w:ascii="Calibri Light" w:eastAsia="宋体" w:hAnsi="Calibri Light" w:cs="Times New Roman"/>
      <w:b/>
      <w:bCs/>
      <w:color w:val="5B9BD5"/>
      <w:sz w:val="26"/>
      <w:szCs w:val="26"/>
    </w:rPr>
  </w:style>
  <w:style w:type="character" w:customStyle="1" w:styleId="3Char">
    <w:name w:val="标题 3 Char"/>
    <w:link w:val="3"/>
    <w:uiPriority w:val="9"/>
    <w:semiHidden/>
    <w:qFormat/>
    <w:rsid w:val="00443A6E"/>
    <w:rPr>
      <w:rFonts w:ascii="Calibri Light" w:eastAsia="宋体" w:hAnsi="Calibri Light" w:cs="Times New Roman"/>
      <w:b/>
      <w:bCs/>
      <w:color w:val="5B9BD5"/>
    </w:rPr>
  </w:style>
  <w:style w:type="character" w:customStyle="1" w:styleId="4Char">
    <w:name w:val="标题 4 Char"/>
    <w:link w:val="4"/>
    <w:uiPriority w:val="9"/>
    <w:semiHidden/>
    <w:qFormat/>
    <w:rsid w:val="00443A6E"/>
    <w:rPr>
      <w:rFonts w:ascii="Calibri Light" w:eastAsia="宋体" w:hAnsi="Calibri Light" w:cs="Times New Roman"/>
      <w:b/>
      <w:bCs/>
      <w:i/>
      <w:iCs/>
      <w:color w:val="5B9BD5"/>
    </w:rPr>
  </w:style>
  <w:style w:type="character" w:customStyle="1" w:styleId="5Char">
    <w:name w:val="标题 5 Char"/>
    <w:link w:val="5"/>
    <w:uiPriority w:val="9"/>
    <w:semiHidden/>
    <w:qFormat/>
    <w:rsid w:val="00443A6E"/>
    <w:rPr>
      <w:rFonts w:ascii="Calibri Light" w:eastAsia="宋体" w:hAnsi="Calibri Light" w:cs="Times New Roman"/>
      <w:color w:val="1F4D78"/>
    </w:rPr>
  </w:style>
  <w:style w:type="character" w:customStyle="1" w:styleId="6Char">
    <w:name w:val="标题 6 Char"/>
    <w:link w:val="6"/>
    <w:uiPriority w:val="9"/>
    <w:semiHidden/>
    <w:rsid w:val="00443A6E"/>
    <w:rPr>
      <w:rFonts w:ascii="Calibri Light" w:eastAsia="宋体" w:hAnsi="Calibri Light" w:cs="Times New Roman"/>
      <w:i/>
      <w:iCs/>
      <w:color w:val="1F4D78"/>
    </w:rPr>
  </w:style>
  <w:style w:type="character" w:customStyle="1" w:styleId="7Char">
    <w:name w:val="标题 7 Char"/>
    <w:link w:val="7"/>
    <w:uiPriority w:val="9"/>
    <w:semiHidden/>
    <w:qFormat/>
    <w:rsid w:val="00443A6E"/>
    <w:rPr>
      <w:rFonts w:ascii="Calibri Light" w:eastAsia="宋体" w:hAnsi="Calibri Light" w:cs="Times New Roman"/>
      <w:i/>
      <w:iCs/>
      <w:color w:val="404040"/>
    </w:rPr>
  </w:style>
  <w:style w:type="character" w:customStyle="1" w:styleId="8Char">
    <w:name w:val="标题 8 Char"/>
    <w:link w:val="8"/>
    <w:uiPriority w:val="9"/>
    <w:semiHidden/>
    <w:qFormat/>
    <w:rsid w:val="00443A6E"/>
    <w:rPr>
      <w:rFonts w:ascii="Calibri Light" w:eastAsia="宋体" w:hAnsi="Calibri Light" w:cs="Times New Roman"/>
      <w:color w:val="5B9BD5"/>
      <w:sz w:val="20"/>
      <w:szCs w:val="20"/>
    </w:rPr>
  </w:style>
  <w:style w:type="character" w:customStyle="1" w:styleId="9Char">
    <w:name w:val="标题 9 Char"/>
    <w:link w:val="9"/>
    <w:uiPriority w:val="9"/>
    <w:semiHidden/>
    <w:rsid w:val="00443A6E"/>
    <w:rPr>
      <w:rFonts w:ascii="Calibri Light" w:eastAsia="宋体" w:hAnsi="Calibri Light" w:cs="Times New Roman"/>
      <w:i/>
      <w:iCs/>
      <w:color w:val="404040"/>
      <w:sz w:val="20"/>
      <w:szCs w:val="20"/>
    </w:rPr>
  </w:style>
  <w:style w:type="character" w:customStyle="1" w:styleId="Char2">
    <w:name w:val="标题 Char"/>
    <w:link w:val="a7"/>
    <w:uiPriority w:val="10"/>
    <w:qFormat/>
    <w:rsid w:val="00443A6E"/>
    <w:rPr>
      <w:rFonts w:ascii="Calibri Light" w:eastAsia="宋体" w:hAnsi="Calibri Light" w:cs="Times New Roman"/>
      <w:color w:val="323E4F"/>
      <w:spacing w:val="5"/>
      <w:sz w:val="52"/>
      <w:szCs w:val="52"/>
    </w:rPr>
  </w:style>
  <w:style w:type="character" w:customStyle="1" w:styleId="Char1">
    <w:name w:val="副标题 Char"/>
    <w:link w:val="a6"/>
    <w:uiPriority w:val="11"/>
    <w:qFormat/>
    <w:rsid w:val="00443A6E"/>
    <w:rPr>
      <w:rFonts w:ascii="Calibri Light" w:eastAsia="宋体" w:hAnsi="Calibri Light" w:cs="Times New Roman"/>
      <w:i/>
      <w:iCs/>
      <w:color w:val="5B9BD5"/>
      <w:spacing w:val="15"/>
      <w:sz w:val="24"/>
      <w:szCs w:val="24"/>
    </w:rPr>
  </w:style>
  <w:style w:type="paragraph" w:styleId="ab">
    <w:name w:val="No Spacing"/>
    <w:uiPriority w:val="1"/>
    <w:qFormat/>
    <w:rsid w:val="00443A6E"/>
    <w:rPr>
      <w:sz w:val="22"/>
      <w:szCs w:val="22"/>
    </w:rPr>
  </w:style>
  <w:style w:type="paragraph" w:styleId="ac">
    <w:name w:val="Quote"/>
    <w:basedOn w:val="a"/>
    <w:next w:val="a"/>
    <w:link w:val="Char3"/>
    <w:uiPriority w:val="29"/>
    <w:qFormat/>
    <w:rsid w:val="00443A6E"/>
    <w:rPr>
      <w:i/>
      <w:iCs/>
      <w:color w:val="000000"/>
    </w:rPr>
  </w:style>
  <w:style w:type="character" w:customStyle="1" w:styleId="Char3">
    <w:name w:val="引用 Char"/>
    <w:link w:val="ac"/>
    <w:uiPriority w:val="29"/>
    <w:qFormat/>
    <w:rsid w:val="00443A6E"/>
    <w:rPr>
      <w:i/>
      <w:iCs/>
      <w:color w:val="000000"/>
    </w:rPr>
  </w:style>
  <w:style w:type="paragraph" w:styleId="ad">
    <w:name w:val="Intense Quote"/>
    <w:basedOn w:val="a"/>
    <w:next w:val="a"/>
    <w:link w:val="Char4"/>
    <w:uiPriority w:val="30"/>
    <w:qFormat/>
    <w:rsid w:val="00443A6E"/>
    <w:pPr>
      <w:pBdr>
        <w:bottom w:val="single" w:sz="4" w:space="4" w:color="5B9BD5"/>
      </w:pBdr>
      <w:spacing w:before="200" w:after="280"/>
      <w:ind w:left="936" w:right="936"/>
    </w:pPr>
    <w:rPr>
      <w:b/>
      <w:bCs/>
      <w:i/>
      <w:iCs/>
      <w:color w:val="5B9BD5"/>
    </w:rPr>
  </w:style>
  <w:style w:type="character" w:customStyle="1" w:styleId="Char4">
    <w:name w:val="明显引用 Char"/>
    <w:link w:val="ad"/>
    <w:uiPriority w:val="30"/>
    <w:qFormat/>
    <w:rsid w:val="00443A6E"/>
    <w:rPr>
      <w:b/>
      <w:bCs/>
      <w:i/>
      <w:iCs/>
      <w:color w:val="5B9BD5"/>
    </w:rPr>
  </w:style>
  <w:style w:type="character" w:customStyle="1" w:styleId="10">
    <w:name w:val="不明显强调1"/>
    <w:uiPriority w:val="19"/>
    <w:qFormat/>
    <w:rsid w:val="00443A6E"/>
    <w:rPr>
      <w:i/>
      <w:iCs/>
      <w:color w:val="808080"/>
    </w:rPr>
  </w:style>
  <w:style w:type="character" w:customStyle="1" w:styleId="11">
    <w:name w:val="明显强调1"/>
    <w:uiPriority w:val="21"/>
    <w:qFormat/>
    <w:rsid w:val="00443A6E"/>
    <w:rPr>
      <w:b/>
      <w:bCs/>
      <w:i/>
      <w:iCs/>
      <w:color w:val="5B9BD5"/>
    </w:rPr>
  </w:style>
  <w:style w:type="character" w:customStyle="1" w:styleId="12">
    <w:name w:val="不明显参考1"/>
    <w:uiPriority w:val="31"/>
    <w:qFormat/>
    <w:rsid w:val="00443A6E"/>
    <w:rPr>
      <w:smallCaps/>
      <w:color w:val="ED7D31"/>
      <w:u w:val="single"/>
    </w:rPr>
  </w:style>
  <w:style w:type="character" w:customStyle="1" w:styleId="13">
    <w:name w:val="明显参考1"/>
    <w:uiPriority w:val="32"/>
    <w:qFormat/>
    <w:rsid w:val="00443A6E"/>
    <w:rPr>
      <w:b/>
      <w:bCs/>
      <w:smallCaps/>
      <w:color w:val="ED7D31"/>
      <w:spacing w:val="5"/>
      <w:u w:val="single"/>
    </w:rPr>
  </w:style>
  <w:style w:type="character" w:customStyle="1" w:styleId="14">
    <w:name w:val="书籍标题1"/>
    <w:uiPriority w:val="33"/>
    <w:qFormat/>
    <w:rsid w:val="00443A6E"/>
    <w:rPr>
      <w:b/>
      <w:bCs/>
      <w:smallCaps/>
      <w:spacing w:val="5"/>
    </w:rPr>
  </w:style>
  <w:style w:type="paragraph" w:customStyle="1" w:styleId="TOC1">
    <w:name w:val="TOC 标题1"/>
    <w:basedOn w:val="1"/>
    <w:next w:val="a"/>
    <w:uiPriority w:val="39"/>
    <w:semiHidden/>
    <w:unhideWhenUsed/>
    <w:qFormat/>
    <w:rsid w:val="00443A6E"/>
    <w:pPr>
      <w:outlineLvl w:val="9"/>
    </w:pPr>
  </w:style>
  <w:style w:type="paragraph" w:styleId="ae">
    <w:name w:val="List Paragraph"/>
    <w:basedOn w:val="a"/>
    <w:uiPriority w:val="34"/>
    <w:qFormat/>
    <w:rsid w:val="00443A6E"/>
    <w:pPr>
      <w:ind w:firstLineChars="200" w:firstLine="420"/>
    </w:pPr>
  </w:style>
  <w:style w:type="paragraph" w:customStyle="1" w:styleId="B">
    <w:name w:val="正文 B"/>
    <w:qFormat/>
    <w:rsid w:val="00443A6E"/>
    <w:rPr>
      <w:rFonts w:ascii="Arial Unicode MS" w:eastAsia="Arial Unicode MS" w:hAnsi="Arial Unicode MS" w:cs="Arial Unicode MS"/>
      <w:color w:val="000000"/>
      <w:sz w:val="22"/>
      <w:szCs w:val="22"/>
      <w:u w:color="000000"/>
    </w:rPr>
  </w:style>
  <w:style w:type="character" w:customStyle="1" w:styleId="Char0">
    <w:name w:val="页眉 Char"/>
    <w:basedOn w:val="a0"/>
    <w:link w:val="a5"/>
    <w:uiPriority w:val="99"/>
    <w:qFormat/>
    <w:rsid w:val="00443A6E"/>
    <w:rPr>
      <w:kern w:val="2"/>
      <w:sz w:val="18"/>
      <w:szCs w:val="18"/>
    </w:rPr>
  </w:style>
  <w:style w:type="character" w:customStyle="1" w:styleId="Char">
    <w:name w:val="页脚 Char"/>
    <w:basedOn w:val="a0"/>
    <w:link w:val="a4"/>
    <w:uiPriority w:val="99"/>
    <w:qFormat/>
    <w:rsid w:val="00443A6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335</Words>
  <Characters>1910</Characters>
  <Application>Microsoft Office Word</Application>
  <DocSecurity>0</DocSecurity>
  <Lines>15</Lines>
  <Paragraphs>4</Paragraphs>
  <ScaleCrop>false</ScaleCrop>
  <Company>Microsoft</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张锴</dc:creator>
  <cp:lastModifiedBy>Anonymous</cp:lastModifiedBy>
  <cp:revision>6</cp:revision>
  <dcterms:created xsi:type="dcterms:W3CDTF">2021-11-04T07:44:00Z</dcterms:created>
  <dcterms:modified xsi:type="dcterms:W3CDTF">2021-11-05T06:25:00Z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4C1999E00D644106BB5319D7556299D7</vt:lpwstr>
  </property>
</Properties>
</file>